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er"/>
        <w:jc w:val="right"/>
        <w:rPr>
          <w:rFonts w:ascii="Calibri" w:hAnsi="Calibri" w:cs="Calibri"/>
          <w:b/>
          <w:sz w:val="56"/>
          <w:szCs w:val="56"/>
        </w:rPr>
      </w:pPr>
      <w:r>
        <w:rPr>
          <w:rFonts w:ascii="Calibri" w:hAnsi="Calibri" w:cs="Calibri"/>
          <w:b/>
          <w:sz w:val="56"/>
          <w:szCs w:val="56"/>
        </w:rPr>
        <w:t xml:space="preserve"> </w:t>
      </w:r>
    </w:p>
    <w:p>
      <w:pPr>
        <w:pStyle w:val="Header"/>
        <w:jc w:val="center"/>
        <w:rPr>
          <w:rFonts w:ascii="Calibri" w:hAnsi="Calibri" w:cs="Calibri"/>
          <w:b/>
          <w:sz w:val="56"/>
          <w:szCs w:val="56"/>
        </w:rPr>
      </w:pPr>
      <w:r>
        <w:rPr>
          <w:rFonts w:ascii="Calibri" w:hAnsi="Calibri" w:cs="Calibri"/>
          <w:b/>
          <w:sz w:val="56"/>
          <w:szCs w:val="56"/>
        </w:rPr>
        <w:t>LORDSWOOD GIRLS’ SCHOOL &amp;</w:t>
      </w:r>
    </w:p>
    <w:p>
      <w:pPr>
        <w:pStyle w:val="Header"/>
        <w:jc w:val="center"/>
        <w:rPr>
          <w:rFonts w:ascii="Calibri" w:hAnsi="Calibri" w:cs="Calibri"/>
          <w:b/>
          <w:sz w:val="56"/>
          <w:szCs w:val="56"/>
        </w:rPr>
      </w:pPr>
      <w:r>
        <w:rPr>
          <w:rFonts w:ascii="Calibri" w:hAnsi="Calibri" w:cs="Calibri"/>
          <w:b/>
          <w:sz w:val="56"/>
          <w:szCs w:val="56"/>
        </w:rPr>
        <w:t>SIXTH FORM CENTRE</w:t>
      </w:r>
    </w:p>
    <w:p>
      <w:pPr>
        <w:pStyle w:val="Header"/>
        <w:jc w:val="right"/>
        <w:rPr>
          <w:rFonts w:ascii="Calibri" w:hAnsi="Calibri" w:cs="Calibri"/>
          <w:b/>
          <w:sz w:val="28"/>
          <w:szCs w:val="28"/>
        </w:rPr>
      </w:pPr>
      <w:r>
        <w:rPr>
          <w:rFonts w:ascii="Calibri" w:hAnsi="Calibri" w:cs="Calibri"/>
          <w:b/>
          <w:sz w:val="28"/>
          <w:szCs w:val="28"/>
        </w:rPr>
        <w:t>‘Together we aspire, we discover, we excel’</w:t>
      </w:r>
    </w:p>
    <w:p/>
    <w:p/>
    <w:p/>
    <w:p>
      <w:pPr>
        <w:pStyle w:val="BodyText"/>
        <w:rPr>
          <w:sz w:val="96"/>
        </w:rPr>
      </w:pPr>
      <w:r>
        <w:rPr>
          <w:sz w:val="96"/>
        </w:rPr>
        <w:t xml:space="preserve">EXAMINATIONS </w:t>
      </w:r>
    </w:p>
    <w:p>
      <w:pPr>
        <w:pStyle w:val="BodyText"/>
        <w:rPr>
          <w:sz w:val="96"/>
        </w:rPr>
      </w:pPr>
      <w:r>
        <w:rPr>
          <w:sz w:val="96"/>
        </w:rPr>
        <w:t>POLICY</w:t>
      </w:r>
    </w:p>
    <w:p>
      <w:pPr>
        <w:pStyle w:val="BodyText"/>
        <w:rPr>
          <w:sz w:val="96"/>
        </w:rPr>
      </w:pPr>
    </w:p>
    <w:p>
      <w:pPr>
        <w:pStyle w:val="BodyText"/>
        <w:rPr>
          <w:b w:val="0"/>
          <w:bCs w:val="0"/>
          <w:sz w:val="28"/>
        </w:rPr>
      </w:pPr>
      <w:r>
        <w:rPr>
          <w:b w:val="0"/>
          <w:bCs w:val="0"/>
          <w:sz w:val="28"/>
        </w:rPr>
        <w:t>Examinations are still the main form of assessment at the end of a Key Stage and form the basis of the qualification, which leads to the next stage of education, training or employment for a young person.  It is vital, therefore, that those responsible for the preparation and administration of examinations provide the atmosphere and environment in which the candidates can achieve the best results possible.</w:t>
      </w:r>
    </w:p>
    <w:p>
      <w:pPr>
        <w:pStyle w:val="BodyText"/>
        <w:rPr>
          <w:b w:val="0"/>
          <w:bCs w:val="0"/>
          <w:sz w:val="28"/>
        </w:rPr>
      </w:pPr>
    </w:p>
    <w:p>
      <w:pPr>
        <w:pStyle w:val="BodyText"/>
        <w:rPr>
          <w:b w:val="0"/>
          <w:bCs w:val="0"/>
          <w:sz w:val="28"/>
        </w:rPr>
      </w:pPr>
    </w:p>
    <w:p>
      <w:pPr>
        <w:pStyle w:val="BodyText"/>
        <w:rPr>
          <w:b w:val="0"/>
          <w:bCs w:val="0"/>
          <w:sz w:val="28"/>
        </w:rPr>
      </w:pPr>
    </w:p>
    <w:p>
      <w:pPr>
        <w:pStyle w:val="BodyText"/>
        <w:rPr>
          <w:b w:val="0"/>
          <w:bCs w:val="0"/>
          <w:sz w:val="28"/>
        </w:rPr>
      </w:pPr>
    </w:p>
    <w:p>
      <w:pPr>
        <w:pStyle w:val="BodyText"/>
        <w:rPr>
          <w:b w:val="0"/>
          <w:bCs w:val="0"/>
          <w:sz w:val="28"/>
        </w:rPr>
      </w:pPr>
      <w:r>
        <w:rPr>
          <w:b w:val="0"/>
          <w:bCs w:val="0"/>
          <w:noProof/>
          <w:sz w:val="28"/>
          <w:lang w:eastAsia="en-GB"/>
        </w:rPr>
        <w:drawing>
          <wp:anchor distT="0" distB="0" distL="114300" distR="114300" simplePos="0" relativeHeight="251658240" behindDoc="0" locked="0" layoutInCell="1" allowOverlap="1">
            <wp:simplePos x="0" y="0"/>
            <wp:positionH relativeFrom="column">
              <wp:posOffset>4707255</wp:posOffset>
            </wp:positionH>
            <wp:positionV relativeFrom="paragraph">
              <wp:posOffset>972185</wp:posOffset>
            </wp:positionV>
            <wp:extent cx="1190625" cy="1207770"/>
            <wp:effectExtent l="0" t="0" r="9525" b="0"/>
            <wp:wrapNone/>
            <wp:docPr id="6" name="Picture 6" descr="sf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c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12077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614170" cy="906145"/>
            <wp:effectExtent l="0" t="0" r="5080" b="8255"/>
            <wp:docPr id="1" name="Picture 1" descr="Description: https://lh4.googleusercontent.com/6zXWxke8TUZwjGwVTp3w34wf6sW2Ptw1qkQjbSanIPbi-Qe3i-vgy_Uf_W63govF4dyjrw_dDS-PdyWTjmfAdg7UNx3r18rOlfts_quVB_tEmlk4ZwWqs_8e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h4.googleusercontent.com/6zXWxke8TUZwjGwVTp3w34wf6sW2Ptw1qkQjbSanIPbi-Qe3i-vgy_Uf_W63govF4dyjrw_dDS-PdyWTjmfAdg7UNx3r18rOlfts_quVB_tEmlk4ZwWqs_8ef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06145"/>
                    </a:xfrm>
                    <a:prstGeom prst="rect">
                      <a:avLst/>
                    </a:prstGeom>
                    <a:noFill/>
                    <a:ln>
                      <a:noFill/>
                    </a:ln>
                  </pic:spPr>
                </pic:pic>
              </a:graphicData>
            </a:graphic>
          </wp:inline>
        </w:drawing>
      </w:r>
      <w:r>
        <w:rPr>
          <w:noProof/>
          <w:lang w:eastAsia="en-GB"/>
        </w:rPr>
        <w:drawing>
          <wp:anchor distT="0" distB="0" distL="114300" distR="114300" simplePos="0" relativeHeight="251657216" behindDoc="1" locked="0" layoutInCell="1" allowOverlap="1">
            <wp:simplePos x="0" y="0"/>
            <wp:positionH relativeFrom="column">
              <wp:posOffset>-798195</wp:posOffset>
            </wp:positionH>
            <wp:positionV relativeFrom="paragraph">
              <wp:posOffset>924560</wp:posOffset>
            </wp:positionV>
            <wp:extent cx="1255395" cy="1255395"/>
            <wp:effectExtent l="0" t="0" r="1905" b="1905"/>
            <wp:wrapTopAndBottom/>
            <wp:docPr id="3" name="Picture 3" descr="l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pic:spPr>
                </pic:pic>
              </a:graphicData>
            </a:graphic>
            <wp14:sizeRelH relativeFrom="page">
              <wp14:pctWidth>0</wp14:pctWidth>
            </wp14:sizeRelH>
            <wp14:sizeRelV relativeFrom="page">
              <wp14:pctHeight>0</wp14:pctHeight>
            </wp14:sizeRelV>
          </wp:anchor>
        </w:drawing>
      </w:r>
    </w:p>
    <w:p>
      <w:pPr>
        <w:pStyle w:val="Heading4"/>
        <w:pageBreakBefore/>
      </w:pPr>
    </w:p>
    <w:p>
      <w:pPr>
        <w:pStyle w:val="Heading4"/>
      </w:pPr>
    </w:p>
    <w:p>
      <w:pPr>
        <w:pStyle w:val="Heading4"/>
      </w:pPr>
    </w:p>
    <w:p>
      <w:pPr>
        <w:pStyle w:val="Heading4"/>
      </w:pPr>
    </w:p>
    <w:p>
      <w:pPr>
        <w:pStyle w:val="Heading4"/>
        <w:rPr>
          <w:b/>
          <w:bCs/>
          <w:sz w:val="36"/>
          <w:u w:val="single"/>
        </w:rPr>
      </w:pPr>
      <w:r>
        <w:rPr>
          <w:b/>
          <w:bCs/>
          <w:sz w:val="36"/>
          <w:u w:val="single"/>
        </w:rPr>
        <w:t>The Examinations Team – 2017 -2018</w:t>
      </w:r>
    </w:p>
    <w:p/>
    <w:p/>
    <w:p/>
    <w:p/>
    <w:p>
      <w:r>
        <w:t>Mrs J Götschel</w:t>
      </w:r>
      <w:r>
        <w:tab/>
      </w:r>
      <w:r>
        <w:tab/>
        <w:t>Executive Headteacher</w:t>
      </w:r>
    </w:p>
    <w:p/>
    <w:p>
      <w:r>
        <w:t>Miss J Millward</w:t>
      </w:r>
      <w:r>
        <w:tab/>
      </w:r>
      <w:r>
        <w:tab/>
        <w:t>Assistant Headteacher (Student Learning &amp; Support)</w:t>
      </w:r>
    </w:p>
    <w:p/>
    <w:p>
      <w:r>
        <w:t>Mrs L Verma</w:t>
      </w:r>
      <w:r>
        <w:tab/>
      </w:r>
      <w:r>
        <w:tab/>
      </w:r>
      <w:r>
        <w:tab/>
        <w:t>Assistant Headteacher (Curriculum &amp; Learning)</w:t>
      </w:r>
    </w:p>
    <w:p/>
    <w:p>
      <w:r>
        <w:t>Mrs A Evans</w:t>
      </w:r>
      <w:r>
        <w:tab/>
      </w:r>
      <w:r>
        <w:tab/>
      </w:r>
      <w:r>
        <w:tab/>
        <w:t>Data &amp; Assessment Manager</w:t>
      </w:r>
    </w:p>
    <w:p/>
    <w:p>
      <w:r>
        <w:t>Mrs Colvin-Grieve</w:t>
      </w:r>
      <w:r>
        <w:tab/>
      </w:r>
      <w:r>
        <w:tab/>
        <w:t>Director of Intervention and Inclusion</w:t>
      </w:r>
    </w:p>
    <w:p/>
    <w:p>
      <w:r>
        <w:t xml:space="preserve">Mrs Uffindall    </w:t>
      </w:r>
      <w:r>
        <w:tab/>
      </w:r>
      <w:r>
        <w:tab/>
        <w:t>Achievement Co-ordinator Year 10 &amp; 11</w:t>
      </w:r>
    </w:p>
    <w:p/>
    <w:p>
      <w:r>
        <w:t>Mr M Khan</w:t>
      </w:r>
      <w:r>
        <w:tab/>
      </w:r>
      <w:r>
        <w:tab/>
      </w:r>
      <w:r>
        <w:tab/>
        <w:t>Examinations Officer</w:t>
      </w:r>
    </w:p>
    <w:p/>
    <w:p>
      <w:r>
        <w:t>Mr K Connolly</w:t>
      </w:r>
      <w:r>
        <w:tab/>
      </w:r>
      <w:r>
        <w:tab/>
        <w:t>Lead Invigilator</w:t>
      </w:r>
    </w:p>
    <w:p/>
    <w:p/>
    <w:p/>
    <w:p/>
    <w:p/>
    <w:p/>
    <w:p/>
    <w:p/>
    <w:p/>
    <w:p/>
    <w:p/>
    <w:p/>
    <w:p/>
    <w:p>
      <w:pPr>
        <w:pStyle w:val="Heading6"/>
      </w:pPr>
    </w:p>
    <w:p>
      <w:pPr>
        <w:pStyle w:val="Heading6"/>
      </w:pPr>
    </w:p>
    <w:p/>
    <w:p/>
    <w:p/>
    <w:p/>
    <w:p/>
    <w:p/>
    <w:p>
      <w:pPr>
        <w:pStyle w:val="Heading6"/>
      </w:pPr>
    </w:p>
    <w:p/>
    <w:p>
      <w:pPr>
        <w:pStyle w:val="Heading6"/>
      </w:pPr>
      <w:r>
        <w:lastRenderedPageBreak/>
        <w:t>The Examination Year</w:t>
      </w:r>
    </w:p>
    <w:p>
      <w:pPr>
        <w:pStyle w:val="Heading7"/>
      </w:pPr>
      <w:r>
        <w:t>September</w:t>
      </w:r>
    </w:p>
    <w:p>
      <w:r>
        <w:t>Deadline for “Enquiries about Results” – Summer series</w:t>
      </w:r>
    </w:p>
    <w:p>
      <w:r>
        <w:t>Year 7 &amp; 8 CAT Tests</w:t>
      </w:r>
    </w:p>
    <w:p>
      <w:r>
        <w:t>BTEC Registrations</w:t>
      </w:r>
    </w:p>
    <w:p/>
    <w:p>
      <w:pPr>
        <w:pStyle w:val="Heading7"/>
      </w:pPr>
      <w:r>
        <w:t>October</w:t>
      </w:r>
    </w:p>
    <w:p>
      <w:r>
        <w:t>Deadline for January Entries</w:t>
      </w:r>
    </w:p>
    <w:p/>
    <w:p>
      <w:pPr>
        <w:pStyle w:val="Heading7"/>
      </w:pPr>
      <w:r>
        <w:t>November</w:t>
      </w:r>
    </w:p>
    <w:p>
      <w:r>
        <w:t xml:space="preserve">Certificates issued </w:t>
      </w:r>
    </w:p>
    <w:p>
      <w:r>
        <w:t>GCSE English, GCSE Mathematics (resits)</w:t>
      </w:r>
    </w:p>
    <w:p/>
    <w:p>
      <w:pPr>
        <w:pStyle w:val="Heading7"/>
      </w:pPr>
      <w:r>
        <w:t>November/December</w:t>
      </w:r>
    </w:p>
    <w:p>
      <w:r>
        <w:t>Year 11 Mock Examinations</w:t>
      </w:r>
    </w:p>
    <w:p/>
    <w:p>
      <w:pPr>
        <w:pStyle w:val="Heading7"/>
      </w:pPr>
      <w:r>
        <w:t>January</w:t>
      </w:r>
    </w:p>
    <w:p>
      <w:r>
        <w:t xml:space="preserve">Deadline for March entries </w:t>
      </w:r>
    </w:p>
    <w:p/>
    <w:p>
      <w:pPr>
        <w:pStyle w:val="Heading7"/>
      </w:pPr>
      <w:r>
        <w:t>February</w:t>
      </w:r>
    </w:p>
    <w:p>
      <w:r>
        <w:t>Deadline for GCSE &amp; GCE entries for summer series</w:t>
      </w:r>
    </w:p>
    <w:p/>
    <w:p>
      <w:pPr>
        <w:pStyle w:val="Heading7"/>
      </w:pPr>
      <w:r>
        <w:t>April/May</w:t>
      </w:r>
    </w:p>
    <w:p>
      <w:r>
        <w:t>Creative Arts Practical Exams</w:t>
      </w:r>
    </w:p>
    <w:p>
      <w:r>
        <w:t>Year 10 Mock Examinations</w:t>
      </w:r>
    </w:p>
    <w:p/>
    <w:p>
      <w:pPr>
        <w:pStyle w:val="Heading7"/>
      </w:pPr>
      <w:r>
        <w:t>May</w:t>
      </w:r>
    </w:p>
    <w:p>
      <w:r>
        <w:t>Year 7 – 9 Exams</w:t>
      </w:r>
    </w:p>
    <w:p>
      <w:r>
        <w:t>GCSE, AS &amp; A2 Examinations begin</w:t>
      </w:r>
    </w:p>
    <w:p>
      <w:r>
        <w:t>Deadline for submitting estimated grades and controlled assessment marks</w:t>
      </w:r>
    </w:p>
    <w:p/>
    <w:p>
      <w:pPr>
        <w:pStyle w:val="Heading7"/>
      </w:pPr>
      <w:r>
        <w:t>June</w:t>
      </w:r>
    </w:p>
    <w:p>
      <w:r>
        <w:t>GCSE, AS, &amp; A2 Examinations conclude</w:t>
      </w:r>
    </w:p>
    <w:p/>
    <w:p>
      <w:pPr>
        <w:pStyle w:val="Heading7"/>
      </w:pPr>
      <w:r>
        <w:t>August</w:t>
      </w:r>
    </w:p>
    <w:p>
      <w:pPr>
        <w:tabs>
          <w:tab w:val="left" w:pos="3191"/>
        </w:tabs>
      </w:pPr>
      <w:r>
        <w:t>Examination Results issued</w:t>
      </w:r>
      <w:r>
        <w:tab/>
      </w:r>
    </w:p>
    <w:p/>
    <w:p/>
    <w:p/>
    <w:p/>
    <w:p/>
    <w:p/>
    <w:tbl>
      <w:tblPr>
        <w:tblW w:w="0" w:type="auto"/>
        <w:tblLayout w:type="fixed"/>
        <w:tblCellMar>
          <w:left w:w="0" w:type="dxa"/>
          <w:right w:w="0" w:type="dxa"/>
        </w:tblCellMar>
        <w:tblLook w:val="0000" w:firstRow="0" w:lastRow="0" w:firstColumn="0" w:lastColumn="0" w:noHBand="0" w:noVBand="0"/>
      </w:tblPr>
      <w:tblGrid>
        <w:gridCol w:w="600"/>
        <w:gridCol w:w="930"/>
        <w:gridCol w:w="6782"/>
      </w:tblGrid>
      <w:tr>
        <w:trPr>
          <w:trHeight w:val="1500"/>
        </w:trPr>
        <w:tc>
          <w:tcPr>
            <w:tcW w:w="1530" w:type="dxa"/>
            <w:gridSpan w:val="2"/>
            <w:shd w:val="clear" w:color="auto" w:fill="auto"/>
            <w:vAlign w:val="center"/>
          </w:tcPr>
          <w:p>
            <w:pPr>
              <w:snapToGrid w:val="0"/>
              <w:jc w:val="center"/>
            </w:pPr>
          </w:p>
        </w:tc>
        <w:tc>
          <w:tcPr>
            <w:tcW w:w="6782" w:type="dxa"/>
            <w:shd w:val="clear" w:color="auto" w:fill="auto"/>
            <w:vAlign w:val="center"/>
          </w:tcPr>
          <w:p>
            <w:pPr>
              <w:pStyle w:val="Heading5"/>
              <w:snapToGrid w:val="0"/>
              <w:spacing w:before="0" w:after="0"/>
            </w:pPr>
            <w:r>
              <w:t>Lordswood Girls’ School &amp; Sixth Form Centre</w:t>
            </w:r>
          </w:p>
        </w:tc>
      </w:tr>
      <w:tr>
        <w:tc>
          <w:tcPr>
            <w:tcW w:w="8312" w:type="dxa"/>
            <w:gridSpan w:val="3"/>
            <w:shd w:val="clear" w:color="auto" w:fill="auto"/>
            <w:vAlign w:val="center"/>
          </w:tcPr>
          <w:p>
            <w:pPr>
              <w:pStyle w:val="Heading5"/>
              <w:snapToGrid w:val="0"/>
              <w:spacing w:before="0" w:after="0"/>
              <w:rPr>
                <w:color w:val="000000"/>
              </w:rPr>
            </w:pPr>
            <w:r>
              <w:br/>
            </w:r>
            <w:r>
              <w:rPr>
                <w:color w:val="000000"/>
              </w:rPr>
              <w:lastRenderedPageBreak/>
              <w:t>Contents</w:t>
            </w:r>
          </w:p>
        </w:tc>
      </w:tr>
      <w:tr>
        <w:tc>
          <w:tcPr>
            <w:tcW w:w="600" w:type="dxa"/>
            <w:shd w:val="clear" w:color="auto" w:fill="auto"/>
            <w:vAlign w:val="center"/>
          </w:tcPr>
          <w:p>
            <w:pPr>
              <w:snapToGrid w:val="0"/>
            </w:pPr>
            <w:r>
              <w:lastRenderedPageBreak/>
              <w:t> </w:t>
            </w:r>
          </w:p>
        </w:tc>
        <w:tc>
          <w:tcPr>
            <w:tcW w:w="7712" w:type="dxa"/>
            <w:gridSpan w:val="2"/>
            <w:shd w:val="clear" w:color="auto" w:fill="auto"/>
            <w:vAlign w:val="center"/>
          </w:tcPr>
          <w:p>
            <w:pPr>
              <w:snapToGrid w:val="0"/>
              <w:rPr>
                <w:sz w:val="20"/>
                <w:szCs w:val="20"/>
              </w:rPr>
            </w:pPr>
          </w:p>
        </w:tc>
      </w:tr>
      <w:tr>
        <w:tc>
          <w:tcPr>
            <w:tcW w:w="600" w:type="dxa"/>
            <w:shd w:val="clear" w:color="auto" w:fill="auto"/>
            <w:vAlign w:val="center"/>
          </w:tcPr>
          <w:p>
            <w:pPr>
              <w:snapToGrid w:val="0"/>
            </w:pPr>
            <w:r>
              <w:t> </w:t>
            </w:r>
          </w:p>
        </w:tc>
        <w:tc>
          <w:tcPr>
            <w:tcW w:w="7712" w:type="dxa"/>
            <w:gridSpan w:val="2"/>
            <w:shd w:val="clear" w:color="auto" w:fill="auto"/>
            <w:vAlign w:val="center"/>
          </w:tcPr>
          <w:p>
            <w:pPr>
              <w:snapToGrid w:val="0"/>
              <w:rPr>
                <w:sz w:val="20"/>
                <w:szCs w:val="20"/>
              </w:rPr>
            </w:pPr>
          </w:p>
        </w:tc>
      </w:tr>
      <w:tr>
        <w:tc>
          <w:tcPr>
            <w:tcW w:w="600" w:type="dxa"/>
            <w:shd w:val="clear" w:color="auto" w:fill="auto"/>
          </w:tcPr>
          <w:p>
            <w:pPr>
              <w:pStyle w:val="Heading3"/>
              <w:snapToGrid w:val="0"/>
              <w:spacing w:before="0" w:after="0"/>
            </w:pPr>
            <w:r>
              <w:t>1.</w:t>
            </w:r>
          </w:p>
        </w:tc>
        <w:tc>
          <w:tcPr>
            <w:tcW w:w="7712" w:type="dxa"/>
            <w:gridSpan w:val="2"/>
            <w:shd w:val="clear" w:color="auto" w:fill="auto"/>
            <w:vAlign w:val="center"/>
          </w:tcPr>
          <w:p>
            <w:pPr>
              <w:pStyle w:val="Heading3"/>
              <w:snapToGrid w:val="0"/>
              <w:spacing w:before="0" w:after="0"/>
            </w:pPr>
            <w:r>
              <w:t>Examination responsibilities</w:t>
            </w:r>
          </w:p>
          <w:p>
            <w:pPr>
              <w:pStyle w:val="BodyText"/>
              <w:rPr>
                <w:sz w:val="22"/>
                <w:szCs w:val="22"/>
              </w:rPr>
            </w:pPr>
          </w:p>
        </w:tc>
      </w:tr>
      <w:tr>
        <w:tc>
          <w:tcPr>
            <w:tcW w:w="600" w:type="dxa"/>
            <w:shd w:val="clear" w:color="auto" w:fill="auto"/>
          </w:tcPr>
          <w:p>
            <w:pPr>
              <w:pStyle w:val="Heading3"/>
              <w:snapToGrid w:val="0"/>
              <w:spacing w:before="0" w:after="0"/>
            </w:pPr>
            <w:r>
              <w:t>2.</w:t>
            </w:r>
          </w:p>
        </w:tc>
        <w:tc>
          <w:tcPr>
            <w:tcW w:w="7712" w:type="dxa"/>
            <w:gridSpan w:val="2"/>
            <w:shd w:val="clear" w:color="auto" w:fill="auto"/>
            <w:vAlign w:val="center"/>
          </w:tcPr>
          <w:p>
            <w:pPr>
              <w:pStyle w:val="Heading3"/>
              <w:snapToGrid w:val="0"/>
              <w:spacing w:before="0" w:after="0"/>
            </w:pPr>
            <w:r>
              <w:t>The statutory tests and qualifications offered</w:t>
            </w:r>
          </w:p>
          <w:p>
            <w:pPr>
              <w:pStyle w:val="BodyText"/>
              <w:rPr>
                <w:sz w:val="22"/>
                <w:szCs w:val="22"/>
              </w:rPr>
            </w:pPr>
          </w:p>
        </w:tc>
      </w:tr>
      <w:tr>
        <w:tc>
          <w:tcPr>
            <w:tcW w:w="600" w:type="dxa"/>
            <w:shd w:val="clear" w:color="auto" w:fill="auto"/>
          </w:tcPr>
          <w:p>
            <w:pPr>
              <w:pStyle w:val="Heading3"/>
              <w:snapToGrid w:val="0"/>
              <w:spacing w:before="0" w:after="0"/>
            </w:pPr>
            <w:r>
              <w:t>3.</w:t>
            </w:r>
          </w:p>
        </w:tc>
        <w:tc>
          <w:tcPr>
            <w:tcW w:w="7712" w:type="dxa"/>
            <w:gridSpan w:val="2"/>
            <w:shd w:val="clear" w:color="auto" w:fill="auto"/>
            <w:vAlign w:val="center"/>
          </w:tcPr>
          <w:p>
            <w:pPr>
              <w:pStyle w:val="Heading3"/>
              <w:snapToGrid w:val="0"/>
              <w:spacing w:before="0" w:after="0"/>
            </w:pPr>
            <w:r>
              <w:t>Examination seasons and timetables</w:t>
            </w:r>
          </w:p>
          <w:p>
            <w:pPr>
              <w:pStyle w:val="BodyText"/>
              <w:rPr>
                <w:sz w:val="22"/>
                <w:szCs w:val="22"/>
              </w:rPr>
            </w:pPr>
          </w:p>
        </w:tc>
      </w:tr>
      <w:tr>
        <w:tc>
          <w:tcPr>
            <w:tcW w:w="600" w:type="dxa"/>
            <w:shd w:val="clear" w:color="auto" w:fill="auto"/>
          </w:tcPr>
          <w:p>
            <w:pPr>
              <w:pStyle w:val="Heading3"/>
              <w:snapToGrid w:val="0"/>
              <w:spacing w:before="0" w:after="0"/>
            </w:pPr>
            <w:r>
              <w:t>4.</w:t>
            </w:r>
          </w:p>
        </w:tc>
        <w:tc>
          <w:tcPr>
            <w:tcW w:w="7712" w:type="dxa"/>
            <w:gridSpan w:val="2"/>
            <w:shd w:val="clear" w:color="auto" w:fill="auto"/>
            <w:vAlign w:val="center"/>
          </w:tcPr>
          <w:p>
            <w:pPr>
              <w:pStyle w:val="Heading3"/>
              <w:snapToGrid w:val="0"/>
              <w:spacing w:before="0" w:after="0"/>
            </w:pPr>
            <w:r>
              <w:t>Entries, entry details, late entries and retakes</w:t>
            </w:r>
          </w:p>
          <w:p>
            <w:pPr>
              <w:pStyle w:val="BodyText"/>
              <w:rPr>
                <w:sz w:val="22"/>
                <w:szCs w:val="22"/>
              </w:rPr>
            </w:pPr>
          </w:p>
        </w:tc>
      </w:tr>
      <w:tr>
        <w:tc>
          <w:tcPr>
            <w:tcW w:w="600" w:type="dxa"/>
            <w:shd w:val="clear" w:color="auto" w:fill="auto"/>
          </w:tcPr>
          <w:p>
            <w:pPr>
              <w:pStyle w:val="Heading3"/>
              <w:snapToGrid w:val="0"/>
              <w:spacing w:before="0" w:after="0"/>
            </w:pPr>
            <w:r>
              <w:t>5.</w:t>
            </w:r>
          </w:p>
        </w:tc>
        <w:tc>
          <w:tcPr>
            <w:tcW w:w="7712" w:type="dxa"/>
            <w:gridSpan w:val="2"/>
            <w:shd w:val="clear" w:color="auto" w:fill="auto"/>
            <w:vAlign w:val="center"/>
          </w:tcPr>
          <w:p>
            <w:pPr>
              <w:pStyle w:val="Heading3"/>
              <w:snapToGrid w:val="0"/>
              <w:spacing w:before="0" w:after="0"/>
            </w:pPr>
            <w:r>
              <w:t>Exam fees</w:t>
            </w:r>
          </w:p>
          <w:p>
            <w:pPr>
              <w:pStyle w:val="BodyText"/>
              <w:rPr>
                <w:sz w:val="22"/>
                <w:szCs w:val="22"/>
              </w:rPr>
            </w:pPr>
          </w:p>
        </w:tc>
      </w:tr>
      <w:tr>
        <w:tc>
          <w:tcPr>
            <w:tcW w:w="600" w:type="dxa"/>
            <w:shd w:val="clear" w:color="auto" w:fill="auto"/>
          </w:tcPr>
          <w:p>
            <w:pPr>
              <w:pStyle w:val="Heading3"/>
              <w:snapToGrid w:val="0"/>
              <w:spacing w:before="0" w:after="0"/>
            </w:pPr>
            <w:r>
              <w:t>6.</w:t>
            </w:r>
          </w:p>
        </w:tc>
        <w:tc>
          <w:tcPr>
            <w:tcW w:w="7712" w:type="dxa"/>
            <w:gridSpan w:val="2"/>
            <w:shd w:val="clear" w:color="auto" w:fill="auto"/>
            <w:vAlign w:val="center"/>
          </w:tcPr>
          <w:p>
            <w:pPr>
              <w:pStyle w:val="Heading3"/>
              <w:snapToGrid w:val="0"/>
              <w:spacing w:before="0" w:after="0"/>
            </w:pPr>
            <w:r>
              <w:t xml:space="preserve">The Disability Discrimination Act (DDA), special </w:t>
            </w:r>
          </w:p>
          <w:p>
            <w:pPr>
              <w:pStyle w:val="Heading3"/>
              <w:snapToGrid w:val="0"/>
              <w:spacing w:before="0" w:after="0"/>
            </w:pPr>
            <w:r>
              <w:t>needs and access arrangements</w:t>
            </w:r>
          </w:p>
          <w:p>
            <w:pPr>
              <w:pStyle w:val="BodyText"/>
              <w:rPr>
                <w:sz w:val="22"/>
                <w:szCs w:val="22"/>
              </w:rPr>
            </w:pPr>
          </w:p>
        </w:tc>
      </w:tr>
      <w:tr>
        <w:tc>
          <w:tcPr>
            <w:tcW w:w="600" w:type="dxa"/>
            <w:shd w:val="clear" w:color="auto" w:fill="auto"/>
          </w:tcPr>
          <w:p>
            <w:pPr>
              <w:pStyle w:val="Heading3"/>
              <w:snapToGrid w:val="0"/>
              <w:spacing w:before="0" w:after="0"/>
            </w:pPr>
            <w:r>
              <w:t>7.</w:t>
            </w:r>
          </w:p>
        </w:tc>
        <w:tc>
          <w:tcPr>
            <w:tcW w:w="7712" w:type="dxa"/>
            <w:gridSpan w:val="2"/>
            <w:shd w:val="clear" w:color="auto" w:fill="auto"/>
            <w:vAlign w:val="center"/>
          </w:tcPr>
          <w:p>
            <w:pPr>
              <w:pStyle w:val="Heading3"/>
              <w:snapToGrid w:val="0"/>
              <w:spacing w:before="0" w:after="0"/>
            </w:pPr>
            <w:r>
              <w:t>Estimated grades</w:t>
            </w:r>
          </w:p>
          <w:p>
            <w:pPr>
              <w:pStyle w:val="BodyText"/>
              <w:rPr>
                <w:sz w:val="22"/>
                <w:szCs w:val="22"/>
              </w:rPr>
            </w:pPr>
          </w:p>
        </w:tc>
      </w:tr>
      <w:tr>
        <w:tc>
          <w:tcPr>
            <w:tcW w:w="600" w:type="dxa"/>
            <w:shd w:val="clear" w:color="auto" w:fill="auto"/>
          </w:tcPr>
          <w:p>
            <w:pPr>
              <w:pStyle w:val="Heading3"/>
              <w:snapToGrid w:val="0"/>
              <w:spacing w:before="0" w:after="0"/>
            </w:pPr>
            <w:r>
              <w:t>8.</w:t>
            </w:r>
          </w:p>
        </w:tc>
        <w:tc>
          <w:tcPr>
            <w:tcW w:w="7712" w:type="dxa"/>
            <w:gridSpan w:val="2"/>
            <w:shd w:val="clear" w:color="auto" w:fill="auto"/>
            <w:vAlign w:val="center"/>
          </w:tcPr>
          <w:p>
            <w:pPr>
              <w:pStyle w:val="Heading3"/>
              <w:snapToGrid w:val="0"/>
              <w:spacing w:before="0" w:after="0"/>
            </w:pPr>
            <w:r>
              <w:t>Managing invigilators and examination days</w:t>
            </w:r>
          </w:p>
          <w:p>
            <w:pPr>
              <w:pStyle w:val="BodyText"/>
              <w:rPr>
                <w:sz w:val="22"/>
                <w:szCs w:val="22"/>
              </w:rPr>
            </w:pPr>
          </w:p>
        </w:tc>
      </w:tr>
      <w:tr>
        <w:tc>
          <w:tcPr>
            <w:tcW w:w="600" w:type="dxa"/>
            <w:shd w:val="clear" w:color="auto" w:fill="auto"/>
          </w:tcPr>
          <w:p>
            <w:pPr>
              <w:pStyle w:val="Heading3"/>
              <w:snapToGrid w:val="0"/>
              <w:spacing w:before="0" w:after="0"/>
            </w:pPr>
            <w:r>
              <w:t>9.</w:t>
            </w:r>
          </w:p>
        </w:tc>
        <w:tc>
          <w:tcPr>
            <w:tcW w:w="7712" w:type="dxa"/>
            <w:gridSpan w:val="2"/>
            <w:shd w:val="clear" w:color="auto" w:fill="auto"/>
            <w:vAlign w:val="center"/>
          </w:tcPr>
          <w:p>
            <w:pPr>
              <w:pStyle w:val="Heading3"/>
              <w:snapToGrid w:val="0"/>
              <w:spacing w:before="0" w:after="0"/>
            </w:pPr>
            <w:r>
              <w:t xml:space="preserve">Candidates, clash candidates and special </w:t>
            </w:r>
          </w:p>
          <w:p>
            <w:pPr>
              <w:pStyle w:val="Heading3"/>
              <w:snapToGrid w:val="0"/>
              <w:spacing w:before="0" w:after="0"/>
            </w:pPr>
            <w:r>
              <w:t>consideration</w:t>
            </w:r>
          </w:p>
          <w:p>
            <w:pPr>
              <w:pStyle w:val="BodyText"/>
              <w:rPr>
                <w:sz w:val="22"/>
                <w:szCs w:val="22"/>
              </w:rPr>
            </w:pPr>
          </w:p>
        </w:tc>
      </w:tr>
      <w:tr>
        <w:tc>
          <w:tcPr>
            <w:tcW w:w="600" w:type="dxa"/>
            <w:shd w:val="clear" w:color="auto" w:fill="auto"/>
          </w:tcPr>
          <w:p>
            <w:pPr>
              <w:pStyle w:val="Heading3"/>
              <w:snapToGrid w:val="0"/>
              <w:spacing w:before="0" w:after="0"/>
            </w:pPr>
            <w:r>
              <w:t>10.</w:t>
            </w:r>
          </w:p>
        </w:tc>
        <w:tc>
          <w:tcPr>
            <w:tcW w:w="7712" w:type="dxa"/>
            <w:gridSpan w:val="2"/>
            <w:shd w:val="clear" w:color="auto" w:fill="auto"/>
            <w:vAlign w:val="center"/>
          </w:tcPr>
          <w:p>
            <w:pPr>
              <w:pStyle w:val="Heading3"/>
              <w:snapToGrid w:val="0"/>
              <w:spacing w:before="0" w:after="0"/>
            </w:pPr>
            <w:r>
              <w:t xml:space="preserve">Controlled assessment and appeals against internal </w:t>
            </w:r>
          </w:p>
          <w:p>
            <w:pPr>
              <w:pStyle w:val="Heading3"/>
              <w:snapToGrid w:val="0"/>
              <w:spacing w:before="0" w:after="0"/>
            </w:pPr>
            <w:r>
              <w:t>assessments</w:t>
            </w:r>
          </w:p>
          <w:p>
            <w:pPr>
              <w:pStyle w:val="BodyText"/>
              <w:rPr>
                <w:sz w:val="22"/>
                <w:szCs w:val="22"/>
              </w:rPr>
            </w:pPr>
          </w:p>
        </w:tc>
      </w:tr>
      <w:tr>
        <w:tc>
          <w:tcPr>
            <w:tcW w:w="600" w:type="dxa"/>
            <w:shd w:val="clear" w:color="auto" w:fill="auto"/>
          </w:tcPr>
          <w:p>
            <w:pPr>
              <w:pStyle w:val="Heading3"/>
              <w:snapToGrid w:val="0"/>
              <w:spacing w:before="0" w:after="0"/>
            </w:pPr>
            <w:r>
              <w:t>11.</w:t>
            </w:r>
          </w:p>
        </w:tc>
        <w:tc>
          <w:tcPr>
            <w:tcW w:w="7712" w:type="dxa"/>
            <w:gridSpan w:val="2"/>
            <w:shd w:val="clear" w:color="auto" w:fill="auto"/>
            <w:vAlign w:val="center"/>
          </w:tcPr>
          <w:p>
            <w:pPr>
              <w:pStyle w:val="Heading3"/>
              <w:snapToGrid w:val="0"/>
              <w:spacing w:before="0" w:after="0"/>
            </w:pPr>
            <w:r>
              <w:t>Plagiarism</w:t>
            </w:r>
          </w:p>
        </w:tc>
      </w:tr>
      <w:tr>
        <w:tc>
          <w:tcPr>
            <w:tcW w:w="600" w:type="dxa"/>
            <w:shd w:val="clear" w:color="auto" w:fill="auto"/>
          </w:tcPr>
          <w:p>
            <w:pPr>
              <w:pStyle w:val="Heading3"/>
              <w:snapToGrid w:val="0"/>
              <w:spacing w:before="0" w:after="0"/>
            </w:pPr>
          </w:p>
        </w:tc>
        <w:tc>
          <w:tcPr>
            <w:tcW w:w="7712" w:type="dxa"/>
            <w:gridSpan w:val="2"/>
            <w:shd w:val="clear" w:color="auto" w:fill="auto"/>
            <w:vAlign w:val="center"/>
          </w:tcPr>
          <w:p>
            <w:pPr>
              <w:pStyle w:val="Heading3"/>
              <w:snapToGrid w:val="0"/>
              <w:spacing w:before="0" w:after="0"/>
            </w:pPr>
          </w:p>
        </w:tc>
      </w:tr>
      <w:tr>
        <w:tc>
          <w:tcPr>
            <w:tcW w:w="600" w:type="dxa"/>
            <w:shd w:val="clear" w:color="auto" w:fill="auto"/>
          </w:tcPr>
          <w:p>
            <w:pPr>
              <w:pStyle w:val="Heading3"/>
              <w:snapToGrid w:val="0"/>
              <w:spacing w:before="0" w:after="0"/>
            </w:pPr>
            <w:r>
              <w:t>12.</w:t>
            </w:r>
          </w:p>
        </w:tc>
        <w:tc>
          <w:tcPr>
            <w:tcW w:w="7712" w:type="dxa"/>
            <w:gridSpan w:val="2"/>
            <w:shd w:val="clear" w:color="auto" w:fill="auto"/>
            <w:vAlign w:val="center"/>
          </w:tcPr>
          <w:p>
            <w:pPr>
              <w:pStyle w:val="Heading3"/>
              <w:snapToGrid w:val="0"/>
              <w:spacing w:before="0" w:after="0"/>
            </w:pPr>
            <w:r>
              <w:t>Malpractice</w:t>
            </w:r>
          </w:p>
          <w:p>
            <w:pPr>
              <w:pStyle w:val="BodyText"/>
              <w:rPr>
                <w:sz w:val="22"/>
                <w:szCs w:val="22"/>
              </w:rPr>
            </w:pPr>
          </w:p>
        </w:tc>
      </w:tr>
      <w:tr>
        <w:tc>
          <w:tcPr>
            <w:tcW w:w="600" w:type="dxa"/>
            <w:shd w:val="clear" w:color="auto" w:fill="auto"/>
          </w:tcPr>
          <w:p>
            <w:pPr>
              <w:pStyle w:val="Heading3"/>
              <w:snapToGrid w:val="0"/>
              <w:spacing w:before="0" w:after="0"/>
            </w:pPr>
            <w:r>
              <w:t>13.</w:t>
            </w:r>
          </w:p>
        </w:tc>
        <w:tc>
          <w:tcPr>
            <w:tcW w:w="7712" w:type="dxa"/>
            <w:gridSpan w:val="2"/>
            <w:shd w:val="clear" w:color="auto" w:fill="auto"/>
            <w:vAlign w:val="center"/>
          </w:tcPr>
          <w:p>
            <w:pPr>
              <w:pStyle w:val="Heading3"/>
              <w:snapToGrid w:val="0"/>
              <w:spacing w:before="0" w:after="0"/>
            </w:pPr>
            <w:r>
              <w:t>Results, enquiries about results (EARS) and access</w:t>
            </w:r>
          </w:p>
          <w:p>
            <w:pPr>
              <w:pStyle w:val="Heading3"/>
              <w:numPr>
                <w:ilvl w:val="1"/>
                <w:numId w:val="1"/>
              </w:numPr>
              <w:snapToGrid w:val="0"/>
              <w:spacing w:before="0" w:after="0"/>
            </w:pPr>
            <w:r>
              <w:t xml:space="preserve"> to scripts</w:t>
            </w:r>
          </w:p>
          <w:p>
            <w:pPr>
              <w:pStyle w:val="Heading3"/>
              <w:snapToGrid w:val="0"/>
              <w:spacing w:before="0" w:after="0"/>
            </w:pPr>
            <w:r>
              <w:t xml:space="preserve"> </w:t>
            </w:r>
          </w:p>
        </w:tc>
      </w:tr>
      <w:tr>
        <w:tc>
          <w:tcPr>
            <w:tcW w:w="600" w:type="dxa"/>
            <w:shd w:val="clear" w:color="auto" w:fill="auto"/>
          </w:tcPr>
          <w:p>
            <w:pPr>
              <w:pStyle w:val="Heading3"/>
              <w:snapToGrid w:val="0"/>
              <w:spacing w:before="0" w:after="0"/>
            </w:pPr>
            <w:r>
              <w:t>14.</w:t>
            </w:r>
          </w:p>
        </w:tc>
        <w:tc>
          <w:tcPr>
            <w:tcW w:w="7712" w:type="dxa"/>
            <w:gridSpan w:val="2"/>
            <w:shd w:val="clear" w:color="auto" w:fill="auto"/>
            <w:vAlign w:val="center"/>
          </w:tcPr>
          <w:p>
            <w:pPr>
              <w:pStyle w:val="Heading3"/>
              <w:snapToGrid w:val="0"/>
              <w:spacing w:before="0" w:after="0"/>
              <w:rPr>
                <w:sz w:val="24"/>
              </w:rPr>
            </w:pPr>
            <w:r>
              <w:t>Certificates</w:t>
            </w:r>
          </w:p>
          <w:p>
            <w:pPr>
              <w:pStyle w:val="BodyText"/>
              <w:rPr>
                <w:sz w:val="22"/>
                <w:szCs w:val="22"/>
              </w:rPr>
            </w:pPr>
          </w:p>
        </w:tc>
      </w:tr>
      <w:tr>
        <w:tc>
          <w:tcPr>
            <w:tcW w:w="600" w:type="dxa"/>
            <w:shd w:val="clear" w:color="auto" w:fill="auto"/>
          </w:tcPr>
          <w:p>
            <w:pPr>
              <w:pStyle w:val="Heading3"/>
              <w:snapToGrid w:val="0"/>
              <w:spacing w:before="0" w:after="0"/>
            </w:pPr>
          </w:p>
        </w:tc>
        <w:tc>
          <w:tcPr>
            <w:tcW w:w="7712" w:type="dxa"/>
            <w:gridSpan w:val="2"/>
            <w:shd w:val="clear" w:color="auto" w:fill="auto"/>
            <w:vAlign w:val="center"/>
          </w:tcPr>
          <w:p>
            <w:pPr>
              <w:pStyle w:val="Heading3"/>
              <w:snapToGrid w:val="0"/>
              <w:spacing w:before="0" w:after="0"/>
            </w:pPr>
          </w:p>
        </w:tc>
      </w:tr>
    </w:tbl>
    <w:p>
      <w:pPr>
        <w:pStyle w:val="Heading1"/>
        <w:tabs>
          <w:tab w:val="clear" w:pos="432"/>
        </w:tabs>
        <w:ind w:firstLine="0"/>
        <w:rPr>
          <w:u w:val="single"/>
        </w:rPr>
      </w:pPr>
    </w:p>
    <w:p>
      <w:pPr>
        <w:pStyle w:val="Heading1"/>
        <w:tabs>
          <w:tab w:val="clear" w:pos="432"/>
        </w:tabs>
        <w:ind w:firstLine="0"/>
        <w:rPr>
          <w:u w:val="single"/>
        </w:rPr>
      </w:pPr>
    </w:p>
    <w:p>
      <w:pPr>
        <w:pStyle w:val="Heading1"/>
        <w:tabs>
          <w:tab w:val="clear" w:pos="432"/>
        </w:tabs>
        <w:ind w:firstLine="0"/>
        <w:rPr>
          <w:u w:val="single"/>
        </w:rPr>
      </w:pPr>
      <w:r>
        <w:rPr>
          <w:u w:val="single"/>
        </w:rPr>
        <w:t>Aim:</w:t>
      </w:r>
    </w:p>
    <w:p>
      <w:pPr>
        <w:pStyle w:val="Heading1"/>
        <w:numPr>
          <w:ilvl w:val="0"/>
          <w:numId w:val="5"/>
        </w:numPr>
        <w:spacing w:after="0"/>
      </w:pPr>
      <w:r>
        <w:t>To ensure the planning and management of examinations are conducted efficiently and in the best interest of candidates</w:t>
      </w:r>
    </w:p>
    <w:p>
      <w:pPr>
        <w:pStyle w:val="Heading1"/>
        <w:numPr>
          <w:ilvl w:val="0"/>
          <w:numId w:val="5"/>
        </w:numPr>
        <w:spacing w:before="0"/>
      </w:pPr>
      <w:r>
        <w:t>To ensure the operation of an efficient examination system with clear guidelines for all relevant staff.</w:t>
      </w:r>
    </w:p>
    <w:p>
      <w:pPr>
        <w:pStyle w:val="Heading1"/>
        <w:tabs>
          <w:tab w:val="clear" w:pos="432"/>
        </w:tabs>
        <w:spacing w:before="0" w:after="240"/>
        <w:ind w:left="0" w:firstLine="0"/>
      </w:pPr>
      <w:r>
        <w:lastRenderedPageBreak/>
        <w:t>It is the responsibility of everyone involved in the Centre’s examination processes to read, understand and implement this policy.</w:t>
      </w:r>
      <w:r>
        <w:br/>
      </w:r>
      <w:r>
        <w:br/>
        <w:t>This examination policy will be reviewed annually.</w:t>
      </w:r>
      <w:r>
        <w:br/>
      </w:r>
      <w:r>
        <w:br/>
        <w:t>This examination policy will be reviewed by the Associate Headteacher and the Data &amp; Assessment Manager.</w:t>
      </w:r>
    </w:p>
    <w:p>
      <w:pPr>
        <w:pStyle w:val="Heading2"/>
        <w:shd w:val="clear" w:color="auto" w:fill="E8EEF7"/>
      </w:pPr>
      <w:r>
        <w:t>1. Examination responsibilities</w:t>
      </w:r>
    </w:p>
    <w:p>
      <w:pPr>
        <w:pStyle w:val="Heading1"/>
        <w:tabs>
          <w:tab w:val="clear" w:pos="432"/>
        </w:tabs>
        <w:rPr>
          <w:u w:val="single"/>
        </w:rPr>
      </w:pPr>
      <w:r>
        <w:rPr>
          <w:u w:val="single"/>
        </w:rPr>
        <w:t>Executive Headteacher</w:t>
      </w:r>
    </w:p>
    <w:p>
      <w:pPr>
        <w:pStyle w:val="Heading1"/>
        <w:spacing w:before="0"/>
      </w:pPr>
      <w:r>
        <w:t>The Executive Headteacher has overall responsibility for the School as an examination centre:</w:t>
      </w:r>
    </w:p>
    <w:p>
      <w:pPr>
        <w:pStyle w:val="Heading1"/>
        <w:spacing w:before="0"/>
      </w:pPr>
      <w:r>
        <w:t>Advises on appeals and re-marks</w:t>
      </w:r>
    </w:p>
    <w:p>
      <w:pPr>
        <w:pStyle w:val="Heading1"/>
        <w:tabs>
          <w:tab w:val="clear" w:pos="432"/>
        </w:tabs>
        <w:ind w:left="0" w:firstLine="0"/>
        <w:rPr>
          <w:u w:val="single"/>
        </w:rPr>
      </w:pPr>
      <w:r>
        <w:rPr>
          <w:u w:val="single"/>
        </w:rPr>
        <w:t xml:space="preserve">Data &amp; Assessment Manager </w:t>
      </w:r>
    </w:p>
    <w:p>
      <w:pPr>
        <w:pStyle w:val="Heading1"/>
        <w:tabs>
          <w:tab w:val="clear" w:pos="432"/>
        </w:tabs>
        <w:spacing w:before="0" w:after="0"/>
        <w:ind w:left="0" w:firstLine="0"/>
      </w:pPr>
      <w:r>
        <w:t>The  Data &amp; Assessment Manager manages the administration of public and internal examinations and analysis of examination results:</w:t>
      </w:r>
    </w:p>
    <w:p>
      <w:pPr>
        <w:pStyle w:val="Heading1"/>
        <w:numPr>
          <w:ilvl w:val="0"/>
          <w:numId w:val="3"/>
        </w:numPr>
        <w:spacing w:after="0"/>
      </w:pPr>
      <w:r>
        <w:t>Advises the Senior Leadership Team, subject and class teachers and other relevant staff on annual examination timetables and application procedures as set by the various examination boards</w:t>
      </w:r>
    </w:p>
    <w:p>
      <w:pPr>
        <w:pStyle w:val="Heading1"/>
        <w:numPr>
          <w:ilvl w:val="0"/>
          <w:numId w:val="3"/>
        </w:numPr>
        <w:spacing w:before="0" w:after="0"/>
      </w:pPr>
      <w:r>
        <w:t>Oversees the production and distribution to staff, governors and candidates of an annual calendar for all examinations in which candidates will be involved and communicates regularly with staff concerning imminent deadlines and events</w:t>
      </w:r>
    </w:p>
    <w:p>
      <w:pPr>
        <w:pStyle w:val="Heading1"/>
        <w:numPr>
          <w:ilvl w:val="0"/>
          <w:numId w:val="3"/>
        </w:numPr>
        <w:spacing w:before="0" w:after="0"/>
      </w:pPr>
      <w:r>
        <w:t>Ensures that candidates and their parents are informed of and understand those aspects of the examination timetable that will affect them</w:t>
      </w:r>
    </w:p>
    <w:p>
      <w:pPr>
        <w:pStyle w:val="Heading1"/>
        <w:numPr>
          <w:ilvl w:val="0"/>
          <w:numId w:val="3"/>
        </w:numPr>
        <w:spacing w:before="0" w:after="0"/>
      </w:pPr>
      <w:r>
        <w:t xml:space="preserve">Consults with teaching staff to ensure that necessary controlled </w:t>
      </w:r>
      <w:bookmarkStart w:id="0" w:name="_GoBack"/>
      <w:bookmarkEnd w:id="0"/>
      <w:r>
        <w:t>assessments are completed on time and in accordance with JCQ guidelines</w:t>
      </w:r>
    </w:p>
    <w:p>
      <w:pPr>
        <w:pStyle w:val="Heading1"/>
        <w:numPr>
          <w:ilvl w:val="0"/>
          <w:numId w:val="3"/>
        </w:numPr>
        <w:spacing w:before="0" w:after="0"/>
      </w:pPr>
      <w:r>
        <w:t>Provides and confirms detailed data on estimated entries</w:t>
      </w:r>
    </w:p>
    <w:p>
      <w:pPr>
        <w:pStyle w:val="Heading1"/>
        <w:numPr>
          <w:ilvl w:val="0"/>
          <w:numId w:val="3"/>
        </w:numPr>
        <w:spacing w:before="0" w:after="0"/>
        <w:rPr>
          <w:i/>
          <w:iCs/>
        </w:rPr>
      </w:pPr>
      <w:r>
        <w:t xml:space="preserve">Administers access arrangements and makes applications for special consideration using the JCQ </w:t>
      </w:r>
      <w:r>
        <w:rPr>
          <w:i/>
          <w:iCs/>
        </w:rPr>
        <w:t>Access arrangements and Special considerations regulations</w:t>
      </w:r>
      <w:r>
        <w:t xml:space="preserve"> and </w:t>
      </w:r>
      <w:r>
        <w:rPr>
          <w:i/>
          <w:iCs/>
        </w:rPr>
        <w:t>Guidance relating to candidates who are eligible for adjustments in examinations</w:t>
      </w:r>
    </w:p>
    <w:p>
      <w:pPr>
        <w:pStyle w:val="Heading1"/>
        <w:spacing w:before="0" w:after="0"/>
      </w:pPr>
      <w:r>
        <w:t>Accounts for income and expenditures relating to all examination costs/charges</w:t>
      </w:r>
    </w:p>
    <w:p>
      <w:pPr>
        <w:pStyle w:val="Heading1"/>
        <w:spacing w:before="0" w:after="0"/>
      </w:pPr>
      <w:r>
        <w:t>Line manages the Examinations Officer and the Lead Invigilator in organising the recruitment, training and monitoring of a team of examination invigilators responsible for the conduct of examinations</w:t>
      </w:r>
    </w:p>
    <w:p>
      <w:pPr>
        <w:pStyle w:val="Heading1"/>
        <w:tabs>
          <w:tab w:val="clear" w:pos="432"/>
        </w:tabs>
        <w:ind w:left="0" w:firstLine="0"/>
        <w:rPr>
          <w:u w:val="single"/>
        </w:rPr>
      </w:pPr>
      <w:r>
        <w:rPr>
          <w:u w:val="single"/>
        </w:rPr>
        <w:t>Senior Leadership Team</w:t>
      </w:r>
    </w:p>
    <w:p>
      <w:pPr>
        <w:pStyle w:val="BodyText"/>
        <w:jc w:val="left"/>
        <w:rPr>
          <w:rFonts w:ascii="Verdana" w:hAnsi="Verdana"/>
          <w:b w:val="0"/>
          <w:sz w:val="22"/>
          <w:szCs w:val="22"/>
        </w:rPr>
      </w:pPr>
      <w:r>
        <w:rPr>
          <w:rFonts w:ascii="Verdana" w:hAnsi="Verdana"/>
          <w:b w:val="0"/>
          <w:sz w:val="22"/>
          <w:szCs w:val="22"/>
        </w:rPr>
        <w:t>The Senior Leadership Team has responsibility for:</w:t>
      </w:r>
    </w:p>
    <w:p>
      <w:pPr>
        <w:pStyle w:val="Heading1"/>
        <w:spacing w:after="0"/>
      </w:pPr>
      <w:r>
        <w:t>The organisation of teaching and learning.</w:t>
      </w:r>
    </w:p>
    <w:p>
      <w:pPr>
        <w:pStyle w:val="Heading1"/>
        <w:spacing w:before="0" w:after="0"/>
      </w:pPr>
      <w:r>
        <w:lastRenderedPageBreak/>
        <w:t>The external validation of courses followed at Keystage 4 and Post-16.</w:t>
      </w:r>
    </w:p>
    <w:p>
      <w:pPr>
        <w:pStyle w:val="Heading1"/>
        <w:spacing w:before="0"/>
      </w:pPr>
      <w:r>
        <w:t>The overall conduct of pupils</w:t>
      </w:r>
    </w:p>
    <w:p>
      <w:pPr>
        <w:pStyle w:val="Heading1"/>
        <w:tabs>
          <w:tab w:val="clear" w:pos="432"/>
        </w:tabs>
        <w:ind w:left="0" w:firstLine="0"/>
        <w:rPr>
          <w:u w:val="single"/>
        </w:rPr>
      </w:pPr>
      <w:r>
        <w:rPr>
          <w:u w:val="single"/>
        </w:rPr>
        <w:t>Lead Professionals</w:t>
      </w:r>
    </w:p>
    <w:p>
      <w:pPr>
        <w:pStyle w:val="Heading1"/>
        <w:tabs>
          <w:tab w:val="clear" w:pos="432"/>
        </w:tabs>
        <w:spacing w:after="0"/>
        <w:ind w:left="0" w:firstLine="0"/>
      </w:pPr>
      <w:r>
        <w:t>The Lead Professionals have responsibility for:</w:t>
      </w:r>
    </w:p>
    <w:p>
      <w:pPr>
        <w:pStyle w:val="Heading1"/>
        <w:spacing w:after="0"/>
      </w:pPr>
      <w:r>
        <w:t>The guidance and pastoral oversight of candidates who are unsure about examination entries or amendments to entries.</w:t>
      </w:r>
    </w:p>
    <w:p>
      <w:pPr>
        <w:pStyle w:val="Heading1"/>
        <w:spacing w:before="0" w:after="0"/>
      </w:pPr>
      <w:r>
        <w:t>The accurate completion of controlled assessment mark sheets and declaration sheets.</w:t>
      </w:r>
    </w:p>
    <w:p>
      <w:pPr>
        <w:pStyle w:val="Heading1"/>
        <w:spacing w:before="0"/>
      </w:pPr>
      <w:r>
        <w:t>The accurate completion of entry and all other mark sheets and adherence to deadlines as set by the  Data &amp; Assessment Manager.</w:t>
      </w:r>
    </w:p>
    <w:p>
      <w:pPr>
        <w:pStyle w:val="BodyText"/>
        <w:jc w:val="left"/>
        <w:rPr>
          <w:rFonts w:ascii="Verdana" w:hAnsi="Verdana"/>
          <w:b w:val="0"/>
          <w:sz w:val="22"/>
          <w:szCs w:val="22"/>
          <w:u w:val="single"/>
        </w:rPr>
      </w:pPr>
      <w:r>
        <w:rPr>
          <w:rFonts w:ascii="Verdana" w:hAnsi="Verdana"/>
          <w:b w:val="0"/>
          <w:sz w:val="22"/>
          <w:szCs w:val="22"/>
          <w:u w:val="single"/>
        </w:rPr>
        <w:t>BTEC: Staff Responsibilities</w:t>
      </w:r>
    </w:p>
    <w:p>
      <w:pPr>
        <w:pStyle w:val="BodyText"/>
        <w:jc w:val="left"/>
        <w:rPr>
          <w:rFonts w:ascii="Verdana" w:hAnsi="Verdana"/>
          <w:b w:val="0"/>
          <w:sz w:val="22"/>
          <w:szCs w:val="22"/>
          <w:u w:val="single"/>
        </w:rPr>
      </w:pPr>
    </w:p>
    <w:p>
      <w:pPr>
        <w:pStyle w:val="BodyText"/>
        <w:jc w:val="left"/>
        <w:rPr>
          <w:rFonts w:ascii="Verdana" w:hAnsi="Verdana"/>
          <w:b w:val="0"/>
          <w:sz w:val="22"/>
          <w:szCs w:val="22"/>
        </w:rPr>
      </w:pPr>
      <w:r>
        <w:rPr>
          <w:rFonts w:ascii="Verdana" w:hAnsi="Verdana"/>
          <w:b w:val="0"/>
          <w:sz w:val="22"/>
          <w:szCs w:val="22"/>
        </w:rPr>
        <w:t>In the autumn term, Lead Internal Verifiers will be asked to submit their assessment schedules to the Quality Nominee for the full programme.  Lead Professionals will submit Btec registrations to the Examinations Officer.  Registrations will be checked and confirmed by the Data &amp; Assessment Manager and the Quality Nominee.</w:t>
      </w:r>
    </w:p>
    <w:p>
      <w:pPr>
        <w:pStyle w:val="BodyText"/>
        <w:jc w:val="left"/>
        <w:rPr>
          <w:rFonts w:ascii="Verdana" w:hAnsi="Verdana"/>
          <w:b w:val="0"/>
          <w:sz w:val="22"/>
          <w:szCs w:val="22"/>
        </w:rPr>
      </w:pPr>
    </w:p>
    <w:p>
      <w:pPr>
        <w:pStyle w:val="BodyText"/>
        <w:numPr>
          <w:ilvl w:val="0"/>
          <w:numId w:val="8"/>
        </w:numPr>
        <w:jc w:val="left"/>
        <w:rPr>
          <w:rFonts w:ascii="Verdana" w:hAnsi="Verdana"/>
          <w:b w:val="0"/>
          <w:sz w:val="22"/>
          <w:szCs w:val="22"/>
        </w:rPr>
      </w:pPr>
      <w:r>
        <w:rPr>
          <w:rFonts w:ascii="Verdana" w:hAnsi="Verdana"/>
          <w:b w:val="0"/>
          <w:sz w:val="22"/>
          <w:szCs w:val="22"/>
        </w:rPr>
        <w:t>Lead Professionals are expected to try to schedule assessments across the two years of the key stage.</w:t>
      </w:r>
    </w:p>
    <w:p>
      <w:pPr>
        <w:pStyle w:val="BodyText"/>
        <w:numPr>
          <w:ilvl w:val="0"/>
          <w:numId w:val="8"/>
        </w:numPr>
        <w:jc w:val="left"/>
        <w:rPr>
          <w:rFonts w:ascii="Verdana" w:hAnsi="Verdana"/>
          <w:b w:val="0"/>
          <w:sz w:val="22"/>
          <w:szCs w:val="22"/>
        </w:rPr>
      </w:pPr>
      <w:r>
        <w:rPr>
          <w:rFonts w:ascii="Verdana" w:hAnsi="Verdana"/>
          <w:b w:val="0"/>
          <w:sz w:val="22"/>
          <w:szCs w:val="22"/>
        </w:rPr>
        <w:t>Lead Professionals will make arrangements to complete standardisation training with staff delivering and internally verify briefs and assignments.</w:t>
      </w:r>
    </w:p>
    <w:p>
      <w:pPr>
        <w:pStyle w:val="BodyText"/>
        <w:numPr>
          <w:ilvl w:val="0"/>
          <w:numId w:val="8"/>
        </w:numPr>
        <w:jc w:val="left"/>
        <w:rPr>
          <w:rFonts w:ascii="Verdana" w:hAnsi="Verdana"/>
          <w:b w:val="0"/>
          <w:sz w:val="22"/>
          <w:szCs w:val="22"/>
        </w:rPr>
      </w:pPr>
      <w:r>
        <w:rPr>
          <w:rFonts w:ascii="Verdana" w:hAnsi="Verdana"/>
          <w:b w:val="0"/>
          <w:sz w:val="22"/>
          <w:szCs w:val="22"/>
        </w:rPr>
        <w:t>Lead Professionals will ensure that individual teachers understand their responsibilities with regards to assessing assignments.</w:t>
      </w:r>
    </w:p>
    <w:p>
      <w:pPr>
        <w:pStyle w:val="BodyText"/>
        <w:numPr>
          <w:ilvl w:val="0"/>
          <w:numId w:val="8"/>
        </w:numPr>
        <w:jc w:val="left"/>
        <w:rPr>
          <w:rFonts w:ascii="Verdana" w:hAnsi="Verdana"/>
          <w:b w:val="0"/>
          <w:sz w:val="22"/>
          <w:szCs w:val="22"/>
        </w:rPr>
      </w:pPr>
      <w:r>
        <w:rPr>
          <w:rFonts w:ascii="Verdana" w:hAnsi="Verdana"/>
          <w:b w:val="0"/>
          <w:sz w:val="22"/>
          <w:szCs w:val="22"/>
        </w:rPr>
        <w:t>Lead Professionals will ensure that individual teachers understand the requirements of the awarding body’s specification and are familiar with the relevant teachers’ guidance and any other subject specific instructions.</w:t>
      </w:r>
    </w:p>
    <w:p>
      <w:pPr>
        <w:pStyle w:val="BodyText"/>
        <w:numPr>
          <w:ilvl w:val="0"/>
          <w:numId w:val="8"/>
        </w:numPr>
        <w:jc w:val="left"/>
        <w:rPr>
          <w:rFonts w:ascii="Verdana" w:hAnsi="Verdana"/>
          <w:b w:val="0"/>
          <w:sz w:val="22"/>
          <w:szCs w:val="22"/>
        </w:rPr>
      </w:pPr>
      <w:r>
        <w:rPr>
          <w:rFonts w:ascii="Verdana" w:hAnsi="Verdana"/>
          <w:b w:val="0"/>
          <w:sz w:val="22"/>
          <w:szCs w:val="22"/>
        </w:rPr>
        <w:t>Where appropriate, assignment briefs will be developed to meet the needs of the assessment criteria in line with the awarding body specification and requirements.</w:t>
      </w:r>
    </w:p>
    <w:p>
      <w:pPr>
        <w:pStyle w:val="Heading1"/>
        <w:tabs>
          <w:tab w:val="clear" w:pos="432"/>
        </w:tabs>
        <w:ind w:left="0" w:firstLine="0"/>
        <w:rPr>
          <w:u w:val="single"/>
        </w:rPr>
      </w:pPr>
    </w:p>
    <w:p>
      <w:pPr>
        <w:pStyle w:val="Heading1"/>
        <w:tabs>
          <w:tab w:val="clear" w:pos="432"/>
        </w:tabs>
        <w:ind w:left="0" w:firstLine="0"/>
        <w:rPr>
          <w:u w:val="single"/>
        </w:rPr>
      </w:pPr>
    </w:p>
    <w:p>
      <w:pPr>
        <w:pStyle w:val="Heading1"/>
        <w:tabs>
          <w:tab w:val="clear" w:pos="432"/>
        </w:tabs>
        <w:ind w:left="0" w:firstLine="0"/>
        <w:rPr>
          <w:u w:val="single"/>
        </w:rPr>
      </w:pPr>
    </w:p>
    <w:p>
      <w:pPr>
        <w:pStyle w:val="Heading1"/>
        <w:tabs>
          <w:tab w:val="clear" w:pos="432"/>
        </w:tabs>
        <w:ind w:left="0" w:firstLine="0"/>
        <w:rPr>
          <w:u w:val="single"/>
        </w:rPr>
      </w:pPr>
      <w:r>
        <w:rPr>
          <w:u w:val="single"/>
        </w:rPr>
        <w:t xml:space="preserve"> Director of Intervention and Inclusion</w:t>
      </w:r>
    </w:p>
    <w:p>
      <w:pPr>
        <w:pStyle w:val="Heading1"/>
        <w:tabs>
          <w:tab w:val="clear" w:pos="432"/>
        </w:tabs>
        <w:spacing w:after="0"/>
      </w:pPr>
      <w:r>
        <w:t>The  Director of Intervention and Inclusion has the responsibility for:</w:t>
      </w:r>
    </w:p>
    <w:p>
      <w:pPr>
        <w:pStyle w:val="BodyText"/>
        <w:rPr>
          <w:sz w:val="22"/>
          <w:szCs w:val="22"/>
        </w:rPr>
      </w:pPr>
    </w:p>
    <w:p>
      <w:pPr>
        <w:pStyle w:val="Heading1"/>
        <w:spacing w:before="0" w:after="0"/>
      </w:pPr>
      <w:r>
        <w:t>The identification and testing of candidates’ requirements for access</w:t>
      </w:r>
    </w:p>
    <w:p>
      <w:pPr>
        <w:pStyle w:val="Heading1"/>
        <w:spacing w:before="0" w:after="0"/>
      </w:pPr>
      <w:r>
        <w:t>The administration of access arrangements.</w:t>
      </w:r>
    </w:p>
    <w:p>
      <w:pPr>
        <w:pStyle w:val="Heading1"/>
        <w:spacing w:before="0"/>
      </w:pPr>
      <w:r>
        <w:t xml:space="preserve">The provision of additional support — with spelling, reading, mathematics, dyslexia or essential skills, hearing impairment, English for speakers </w:t>
      </w:r>
      <w:r>
        <w:lastRenderedPageBreak/>
        <w:t>of other languages, IT equipment — to help candidates achieve their course aims.</w:t>
      </w:r>
    </w:p>
    <w:p>
      <w:pPr>
        <w:pStyle w:val="Heading1"/>
        <w:tabs>
          <w:tab w:val="clear" w:pos="432"/>
        </w:tabs>
        <w:ind w:left="0" w:firstLine="0"/>
        <w:rPr>
          <w:u w:val="single"/>
        </w:rPr>
      </w:pPr>
      <w:r>
        <w:rPr>
          <w:u w:val="single"/>
        </w:rPr>
        <w:t>Examinations Officer</w:t>
      </w:r>
    </w:p>
    <w:p>
      <w:pPr>
        <w:pStyle w:val="Heading1"/>
        <w:spacing w:before="0" w:after="0"/>
        <w:ind w:left="431" w:hanging="431"/>
      </w:pPr>
      <w:r>
        <w:t>The Examinations Officer is responsible for ensuring a log is completed by security/reception staff with the date and time of examination material arriving in to school, the immediate collection, checking and securing of all examination materials.</w:t>
      </w:r>
    </w:p>
    <w:p>
      <w:pPr>
        <w:pStyle w:val="Heading1"/>
        <w:spacing w:before="0" w:after="0"/>
      </w:pPr>
      <w:r>
        <w:t>The secure storage of internal and external examination scripts and examination dispatch labels</w:t>
      </w:r>
    </w:p>
    <w:p>
      <w:pPr>
        <w:pStyle w:val="Heading1"/>
        <w:spacing w:before="0" w:after="0"/>
      </w:pPr>
      <w:r>
        <w:t>Producing and displaying examination timetables</w:t>
      </w:r>
    </w:p>
    <w:p>
      <w:pPr>
        <w:pStyle w:val="Heading1"/>
        <w:spacing w:before="0" w:after="0"/>
      </w:pPr>
      <w:r>
        <w:t>Collating data from Lead Professionals for analysis purpose</w:t>
      </w:r>
    </w:p>
    <w:p>
      <w:pPr>
        <w:pStyle w:val="Heading1"/>
        <w:spacing w:before="0" w:after="0"/>
      </w:pPr>
      <w:r>
        <w:t>The issuing of examination timetables to invigilators</w:t>
      </w:r>
    </w:p>
    <w:p>
      <w:pPr>
        <w:pStyle w:val="Heading1"/>
        <w:spacing w:before="0" w:after="0"/>
      </w:pPr>
      <w:r>
        <w:t>The completion of attendance records, reporting any absentees to the  Data &amp; Assessment  Manager</w:t>
      </w:r>
    </w:p>
    <w:p>
      <w:pPr>
        <w:pStyle w:val="Heading1"/>
        <w:spacing w:before="0" w:after="0"/>
      </w:pPr>
      <w:r>
        <w:t>The packaging, storing and secure dispatch of examination scripts to the relevant moderators and examination boards</w:t>
      </w:r>
    </w:p>
    <w:p>
      <w:pPr>
        <w:pStyle w:val="Heading1"/>
        <w:spacing w:before="0" w:after="0"/>
      </w:pPr>
      <w:r>
        <w:t>Liaising with parcel force to ensure the timely dispatch of examination scripts</w:t>
      </w:r>
    </w:p>
    <w:p>
      <w:pPr>
        <w:pStyle w:val="Heading1"/>
        <w:spacing w:before="0" w:after="0"/>
      </w:pPr>
      <w:r>
        <w:t>Liaising with the Lead Invigilator to ensure the smooth running of internal and external examinations</w:t>
      </w:r>
    </w:p>
    <w:p>
      <w:pPr>
        <w:pStyle w:val="Heading1"/>
        <w:spacing w:before="0"/>
      </w:pPr>
      <w:r>
        <w:t>Reporting any issues immediately to the  Data &amp; Assessment Manager</w:t>
      </w:r>
    </w:p>
    <w:p>
      <w:pPr>
        <w:pStyle w:val="BodyText"/>
        <w:jc w:val="left"/>
        <w:rPr>
          <w:rFonts w:ascii="Verdana" w:hAnsi="Verdana"/>
          <w:b w:val="0"/>
          <w:sz w:val="22"/>
          <w:szCs w:val="22"/>
          <w:u w:val="single"/>
        </w:rPr>
      </w:pPr>
      <w:r>
        <w:rPr>
          <w:rFonts w:ascii="Verdana" w:hAnsi="Verdana"/>
          <w:b w:val="0"/>
          <w:sz w:val="22"/>
          <w:szCs w:val="22"/>
          <w:u w:val="single"/>
        </w:rPr>
        <w:t>Reception and Security Staff</w:t>
      </w:r>
    </w:p>
    <w:p>
      <w:pPr>
        <w:pStyle w:val="BodyText"/>
        <w:jc w:val="left"/>
        <w:rPr>
          <w:rFonts w:ascii="Verdana" w:hAnsi="Verdana"/>
          <w:b w:val="0"/>
          <w:sz w:val="22"/>
          <w:szCs w:val="22"/>
          <w:u w:val="single"/>
        </w:rPr>
      </w:pPr>
    </w:p>
    <w:p>
      <w:pPr>
        <w:pStyle w:val="BodyText"/>
        <w:jc w:val="left"/>
        <w:rPr>
          <w:rFonts w:ascii="Verdana" w:hAnsi="Verdana"/>
          <w:b w:val="0"/>
          <w:sz w:val="22"/>
          <w:szCs w:val="22"/>
        </w:rPr>
      </w:pPr>
      <w:r>
        <w:rPr>
          <w:rFonts w:ascii="Verdana" w:hAnsi="Verdana"/>
          <w:b w:val="0"/>
          <w:sz w:val="22"/>
          <w:szCs w:val="22"/>
        </w:rPr>
        <w:t xml:space="preserve">Reception and Security staff are responsible for receiving and signing for examination materials, completing the log with the date and time of materials arriving in to school and immediately informing the Examination Officer and/or the  Data &amp; Assessment Manager of the arrival of materials.  </w:t>
      </w:r>
    </w:p>
    <w:p>
      <w:pPr>
        <w:pStyle w:val="Heading1"/>
        <w:tabs>
          <w:tab w:val="clear" w:pos="432"/>
        </w:tabs>
        <w:ind w:left="0" w:firstLine="0"/>
        <w:rPr>
          <w:u w:val="single"/>
        </w:rPr>
      </w:pPr>
      <w:r>
        <w:rPr>
          <w:u w:val="single"/>
        </w:rPr>
        <w:t>Lead invigilator</w:t>
      </w:r>
    </w:p>
    <w:p>
      <w:pPr>
        <w:pStyle w:val="Heading1"/>
        <w:tabs>
          <w:tab w:val="clear" w:pos="432"/>
        </w:tabs>
        <w:spacing w:after="0"/>
      </w:pPr>
      <w:r>
        <w:t>The Lead Invigilator has responsibility for:</w:t>
      </w:r>
    </w:p>
    <w:p>
      <w:pPr>
        <w:pStyle w:val="Heading1"/>
        <w:spacing w:after="0"/>
      </w:pPr>
      <w:r>
        <w:t>The collection of examination papers and other material from the Examinations Officer before the start of the examination.</w:t>
      </w:r>
    </w:p>
    <w:p>
      <w:pPr>
        <w:pStyle w:val="Heading1"/>
        <w:spacing w:before="0" w:after="0"/>
      </w:pPr>
      <w:r>
        <w:t>Conducting examinations in accordance with the JCQ guidelines</w:t>
      </w:r>
    </w:p>
    <w:p>
      <w:pPr>
        <w:pStyle w:val="Heading1"/>
        <w:spacing w:before="0" w:after="0"/>
      </w:pPr>
      <w:r>
        <w:t>The induction and training of new invigilation staff</w:t>
      </w:r>
    </w:p>
    <w:p>
      <w:pPr>
        <w:pStyle w:val="Heading1"/>
        <w:spacing w:before="0" w:after="0"/>
      </w:pPr>
      <w:r>
        <w:t>The secure collection of all examination papers in the correct order at the end of the examination and ensuring their safe return to the Examinations Officer.</w:t>
      </w:r>
    </w:p>
    <w:p>
      <w:pPr>
        <w:pStyle w:val="Heading1"/>
        <w:spacing w:before="0"/>
      </w:pPr>
      <w:r>
        <w:t>Reporting any issues directly to the  Data &amp; Assessment  Manager</w:t>
      </w:r>
    </w:p>
    <w:p>
      <w:pPr>
        <w:pStyle w:val="Heading1"/>
        <w:tabs>
          <w:tab w:val="clear" w:pos="432"/>
        </w:tabs>
        <w:ind w:left="0" w:firstLine="0"/>
        <w:rPr>
          <w:u w:val="single"/>
        </w:rPr>
      </w:pPr>
      <w:r>
        <w:rPr>
          <w:u w:val="single"/>
        </w:rPr>
        <w:t>Candidates</w:t>
      </w:r>
    </w:p>
    <w:p>
      <w:pPr>
        <w:pStyle w:val="Heading1"/>
        <w:tabs>
          <w:tab w:val="clear" w:pos="432"/>
        </w:tabs>
        <w:spacing w:after="0"/>
      </w:pPr>
      <w:r>
        <w:t>Candidates are responsible for:</w:t>
      </w:r>
    </w:p>
    <w:p>
      <w:pPr>
        <w:pStyle w:val="Heading1"/>
        <w:spacing w:before="0" w:after="0"/>
      </w:pPr>
      <w:r>
        <w:t>Confirmation and signing of entries.</w:t>
      </w:r>
    </w:p>
    <w:p>
      <w:pPr>
        <w:pStyle w:val="Heading1"/>
        <w:spacing w:before="0" w:after="0"/>
      </w:pPr>
      <w:r>
        <w:t>Understanding controlled assessment regulations and signing a declaration that authenticates the controlled assessment as their own.</w:t>
      </w:r>
    </w:p>
    <w:p>
      <w:pPr>
        <w:pStyle w:val="Heading2"/>
        <w:shd w:val="clear" w:color="auto" w:fill="E8EEF7"/>
      </w:pPr>
      <w:r>
        <w:lastRenderedPageBreak/>
        <w:t>2. The statutory tests and qualifications offered</w:t>
      </w:r>
    </w:p>
    <w:p>
      <w:pPr>
        <w:pStyle w:val="Heading1"/>
        <w:tabs>
          <w:tab w:val="clear" w:pos="432"/>
        </w:tabs>
        <w:spacing w:after="240"/>
        <w:ind w:firstLine="0"/>
        <w:jc w:val="both"/>
      </w:pPr>
      <w:r>
        <w:t>The statutory tests and qualifications offered at this Centre are decided by the Executive Headteacher and the Senior Leadership Team.</w:t>
      </w:r>
      <w:r>
        <w:br/>
      </w:r>
      <w:r>
        <w:br/>
        <w:t>The statutory tests and qualifications offered are:</w:t>
      </w:r>
    </w:p>
    <w:p>
      <w:pPr>
        <w:pStyle w:val="Heading1"/>
        <w:tabs>
          <w:tab w:val="clear" w:pos="432"/>
        </w:tabs>
        <w:spacing w:after="240"/>
        <w:ind w:firstLine="0"/>
        <w:jc w:val="both"/>
      </w:pPr>
      <w:r>
        <w:t xml:space="preserve"> GCSE, A levels, Key Skills and qualifications from the Btec suite</w:t>
      </w:r>
    </w:p>
    <w:p>
      <w:pPr>
        <w:pStyle w:val="Heading1"/>
        <w:tabs>
          <w:tab w:val="clear" w:pos="432"/>
        </w:tabs>
        <w:spacing w:after="240"/>
        <w:ind w:firstLine="0"/>
        <w:jc w:val="both"/>
      </w:pPr>
      <w:r>
        <w:t xml:space="preserve">The subjects offered for these qualifications in any academic year may be found in the Centre’s published prospectus for that year. If there has been a change of syllabus from the previous year, the Data &amp; Assessment Manager must be informed by </w:t>
      </w:r>
      <w:r>
        <w:rPr>
          <w:b/>
          <w:bCs/>
        </w:rPr>
        <w:t>1</w:t>
      </w:r>
      <w:r>
        <w:rPr>
          <w:b/>
          <w:bCs/>
          <w:vertAlign w:val="superscript"/>
        </w:rPr>
        <w:t>st</w:t>
      </w:r>
      <w:r>
        <w:rPr>
          <w:b/>
          <w:bCs/>
        </w:rPr>
        <w:t xml:space="preserve"> September 2015</w:t>
      </w:r>
      <w:r>
        <w:t>.</w:t>
      </w:r>
    </w:p>
    <w:p>
      <w:pPr>
        <w:pStyle w:val="Heading1"/>
        <w:tabs>
          <w:tab w:val="clear" w:pos="432"/>
        </w:tabs>
        <w:spacing w:before="0" w:after="240"/>
        <w:ind w:left="0" w:firstLine="0"/>
        <w:rPr>
          <w:u w:val="single"/>
        </w:rPr>
      </w:pPr>
      <w:r>
        <w:br/>
      </w:r>
      <w:r>
        <w:rPr>
          <w:u w:val="single"/>
        </w:rPr>
        <w:t>At Key stage 4</w:t>
      </w:r>
    </w:p>
    <w:p>
      <w:pPr>
        <w:rPr>
          <w:rFonts w:ascii="Verdana" w:hAnsi="Verdana"/>
          <w:sz w:val="22"/>
          <w:szCs w:val="22"/>
        </w:rPr>
      </w:pPr>
      <w:r>
        <w:rPr>
          <w:rFonts w:ascii="Verdana" w:hAnsi="Verdana"/>
          <w:sz w:val="22"/>
          <w:szCs w:val="22"/>
        </w:rPr>
        <w:t>All candidates will be entitled, and enabled, to achieve an entry for qualifications from an external awarding body providing:</w:t>
      </w:r>
    </w:p>
    <w:p/>
    <w:p>
      <w:pPr>
        <w:pStyle w:val="Heading1"/>
        <w:spacing w:before="0" w:after="240"/>
      </w:pPr>
      <w:r>
        <w:t>They have a satisfactory attendance record</w:t>
      </w:r>
    </w:p>
    <w:p>
      <w:pPr>
        <w:pStyle w:val="Heading1"/>
        <w:spacing w:before="0" w:after="240"/>
      </w:pPr>
      <w:r>
        <w:t>Meet controlled assessment/coursework deadlines</w:t>
      </w:r>
    </w:p>
    <w:p>
      <w:pPr>
        <w:pStyle w:val="Heading1"/>
        <w:spacing w:before="0" w:after="240"/>
      </w:pPr>
      <w:r>
        <w:t xml:space="preserve">Have sat a mock or practical examination </w:t>
      </w:r>
    </w:p>
    <w:p>
      <w:pPr>
        <w:pStyle w:val="Heading1"/>
        <w:spacing w:before="0"/>
      </w:pPr>
      <w:r>
        <w:t>Comply with school and examination board requirements</w:t>
      </w:r>
    </w:p>
    <w:p>
      <w:pPr>
        <w:pStyle w:val="Heading1"/>
        <w:tabs>
          <w:tab w:val="clear" w:pos="432"/>
        </w:tabs>
        <w:spacing w:before="0" w:after="240"/>
        <w:ind w:left="0" w:firstLine="0"/>
      </w:pPr>
      <w:r>
        <w:t>All examinations are now linear and will be taken at the end of the course in the summer examination series with only resits in English and Mathematics qualifications allowed.</w:t>
      </w:r>
    </w:p>
    <w:p>
      <w:pPr>
        <w:pStyle w:val="Heading1"/>
        <w:tabs>
          <w:tab w:val="clear" w:pos="432"/>
        </w:tabs>
        <w:spacing w:before="0" w:after="240"/>
        <w:ind w:left="0" w:firstLine="0"/>
        <w:rPr>
          <w:u w:val="single"/>
        </w:rPr>
      </w:pPr>
      <w:r>
        <w:rPr>
          <w:u w:val="single"/>
        </w:rPr>
        <w:t>Post 16</w:t>
      </w:r>
    </w:p>
    <w:p>
      <w:pPr>
        <w:pStyle w:val="Heading1"/>
        <w:tabs>
          <w:tab w:val="clear" w:pos="432"/>
        </w:tabs>
        <w:spacing w:before="0" w:after="240"/>
        <w:ind w:left="0" w:firstLine="0"/>
      </w:pPr>
      <w:r>
        <w:t>Every student following a post-16 course will be entered for examinations unless elements of the examination such as controlled assessments/ coursework have not been completed or the student has failed to show the required level of achievement due to poor motivation or attendance.</w:t>
      </w:r>
    </w:p>
    <w:p>
      <w:pPr>
        <w:pStyle w:val="Heading1"/>
        <w:tabs>
          <w:tab w:val="clear" w:pos="432"/>
        </w:tabs>
        <w:spacing w:before="0" w:after="240"/>
        <w:ind w:left="0" w:firstLine="0"/>
      </w:pPr>
      <w:r>
        <w:t>The decision of non-entry into an examination will be made by the Associate Headteacher(s) and the Executive Headteacher.</w:t>
      </w:r>
    </w:p>
    <w:p>
      <w:pPr>
        <w:pStyle w:val="Heading1"/>
        <w:tabs>
          <w:tab w:val="clear" w:pos="432"/>
        </w:tabs>
        <w:spacing w:before="0" w:after="240"/>
        <w:ind w:left="0" w:firstLine="0"/>
      </w:pPr>
      <w:r>
        <w:t xml:space="preserve">Post-16 examinations including resits will take place during the summer examination series.  </w:t>
      </w:r>
    </w:p>
    <w:p>
      <w:pPr>
        <w:pStyle w:val="Heading2"/>
        <w:shd w:val="clear" w:color="auto" w:fill="E8EEF7"/>
      </w:pPr>
    </w:p>
    <w:p>
      <w:pPr>
        <w:pStyle w:val="Heading2"/>
        <w:shd w:val="clear" w:color="auto" w:fill="E8EEF7"/>
      </w:pPr>
      <w:r>
        <w:t>3. Examination seasons and timetables</w:t>
      </w:r>
    </w:p>
    <w:p>
      <w:pPr>
        <w:pStyle w:val="Heading1"/>
        <w:tabs>
          <w:tab w:val="clear" w:pos="432"/>
        </w:tabs>
        <w:ind w:left="0" w:firstLine="0"/>
        <w:rPr>
          <w:u w:val="single"/>
        </w:rPr>
      </w:pPr>
      <w:r>
        <w:rPr>
          <w:u w:val="single"/>
        </w:rPr>
        <w:t xml:space="preserve">3.1 Examination seasons </w:t>
      </w:r>
    </w:p>
    <w:p>
      <w:pPr>
        <w:pStyle w:val="Heading1"/>
        <w:spacing w:before="0" w:after="240"/>
      </w:pPr>
      <w:r>
        <w:lastRenderedPageBreak/>
        <w:t>Internal examinations are scheduled in November, December, January, April and May.</w:t>
      </w:r>
    </w:p>
    <w:p>
      <w:pPr>
        <w:pStyle w:val="Heading1"/>
        <w:spacing w:before="0" w:after="240"/>
      </w:pPr>
      <w:r>
        <w:t>External examinations are scheduled in November, January, March, May and June.</w:t>
      </w:r>
    </w:p>
    <w:p>
      <w:pPr>
        <w:pStyle w:val="Heading1"/>
        <w:spacing w:before="0" w:after="240"/>
      </w:pPr>
      <w:r>
        <w:t>All internal examinations are held under external examination conditions.</w:t>
      </w:r>
    </w:p>
    <w:p>
      <w:pPr>
        <w:pStyle w:val="Heading1"/>
        <w:tabs>
          <w:tab w:val="clear" w:pos="432"/>
        </w:tabs>
        <w:ind w:left="0" w:firstLine="0"/>
        <w:rPr>
          <w:u w:val="single"/>
        </w:rPr>
      </w:pPr>
      <w:r>
        <w:rPr>
          <w:u w:val="single"/>
        </w:rPr>
        <w:t>3.2 Timetables</w:t>
      </w:r>
    </w:p>
    <w:p>
      <w:pPr>
        <w:pStyle w:val="Heading1"/>
        <w:tabs>
          <w:tab w:val="clear" w:pos="432"/>
        </w:tabs>
        <w:spacing w:before="0" w:after="240"/>
        <w:ind w:left="0" w:firstLine="0"/>
      </w:pPr>
      <w:r>
        <w:t xml:space="preserve">The  Data &amp; Assessment Manager will circulate the examination timetables for both external and internal examinations once these are confirmed. </w:t>
      </w:r>
    </w:p>
    <w:p>
      <w:pPr>
        <w:pStyle w:val="Heading2"/>
        <w:shd w:val="clear" w:color="auto" w:fill="E8EEF7"/>
      </w:pPr>
      <w:r>
        <w:t>4. Entries, entry details, late entries and retakes</w:t>
      </w:r>
    </w:p>
    <w:p>
      <w:pPr>
        <w:pStyle w:val="Heading1"/>
        <w:tabs>
          <w:tab w:val="clear" w:pos="432"/>
        </w:tabs>
        <w:ind w:left="0" w:firstLine="0"/>
        <w:rPr>
          <w:u w:val="single"/>
        </w:rPr>
      </w:pPr>
      <w:r>
        <w:rPr>
          <w:u w:val="single"/>
        </w:rPr>
        <w:t>4.1 Entries</w:t>
      </w:r>
    </w:p>
    <w:p>
      <w:pPr>
        <w:pStyle w:val="Heading1"/>
        <w:spacing w:before="0" w:after="240"/>
      </w:pPr>
      <w:r>
        <w:t>Candidates are selected for their examination entries including level of entry by the relevant Lead Professionals and subject teachers.</w:t>
      </w:r>
    </w:p>
    <w:p>
      <w:pPr>
        <w:pStyle w:val="Heading1"/>
        <w:spacing w:before="0" w:after="240"/>
      </w:pPr>
      <w:r>
        <w:t>A candidate or parent/carer can request a subject entry, change of level or withdrawal but this could incur costs.</w:t>
      </w:r>
    </w:p>
    <w:p>
      <w:pPr>
        <w:pStyle w:val="Heading1"/>
        <w:spacing w:before="0" w:after="240"/>
      </w:pPr>
      <w:r>
        <w:t>The Centre does not generally accept entries from external candidates.</w:t>
      </w:r>
    </w:p>
    <w:p>
      <w:pPr>
        <w:pStyle w:val="Heading1"/>
        <w:tabs>
          <w:tab w:val="clear" w:pos="432"/>
        </w:tabs>
        <w:ind w:firstLine="0"/>
        <w:rPr>
          <w:u w:val="single"/>
        </w:rPr>
      </w:pPr>
      <w:r>
        <w:rPr>
          <w:u w:val="single"/>
        </w:rPr>
        <w:t>4.2 Late entries</w:t>
      </w:r>
    </w:p>
    <w:p>
      <w:pPr>
        <w:pStyle w:val="Heading1"/>
      </w:pPr>
      <w:r>
        <w:t>Entry deadlines are circulated to Lead Professionals via email and briefings.</w:t>
      </w:r>
    </w:p>
    <w:p>
      <w:pPr>
        <w:pStyle w:val="Heading1"/>
        <w:tabs>
          <w:tab w:val="clear" w:pos="432"/>
        </w:tabs>
        <w:ind w:firstLine="0"/>
      </w:pPr>
      <w:r>
        <w:t>Late entries are authorised by the subject line manager and the  Data &amp; Assessment Manager.</w:t>
      </w:r>
    </w:p>
    <w:p>
      <w:pPr>
        <w:pStyle w:val="Heading1"/>
        <w:tabs>
          <w:tab w:val="clear" w:pos="432"/>
        </w:tabs>
        <w:ind w:firstLine="0"/>
        <w:rPr>
          <w:u w:val="single"/>
        </w:rPr>
      </w:pPr>
      <w:r>
        <w:rPr>
          <w:u w:val="single"/>
        </w:rPr>
        <w:t>4.3 Retakes</w:t>
      </w:r>
    </w:p>
    <w:p>
      <w:pPr>
        <w:pStyle w:val="Heading1"/>
      </w:pPr>
      <w:r>
        <w:t>Retake decisions will be made in consultation with the Senior Leadership Team, subject line manager, the  Data &amp; Assessment Manager and relevant Lead Professionals.</w:t>
      </w:r>
    </w:p>
    <w:p>
      <w:pPr>
        <w:pStyle w:val="Heading1"/>
      </w:pPr>
      <w:r>
        <w:t>The decision for a retake will be made on the basis of a candidate not achieving their predicted grade.  Should the reason for this be due to incomplete controlled assessment/coursework, poor attendance, behaviour or motivation the student may be liable for the cost of the re-take; if poor attendance is the result of illness, a medical note will be required.</w:t>
      </w:r>
    </w:p>
    <w:p>
      <w:pPr>
        <w:pStyle w:val="Heading1"/>
        <w:tabs>
          <w:tab w:val="clear" w:pos="432"/>
        </w:tabs>
        <w:ind w:firstLine="0"/>
        <w:rPr>
          <w:b/>
          <w:u w:val="single"/>
        </w:rPr>
      </w:pPr>
      <w:r>
        <w:rPr>
          <w:b/>
          <w:u w:val="single"/>
        </w:rPr>
        <w:t>Btec Courses:</w:t>
      </w:r>
    </w:p>
    <w:p>
      <w:pPr>
        <w:pStyle w:val="Heading1"/>
      </w:pPr>
      <w:r>
        <w:t xml:space="preserve">Each Btec unit should be submitted to the Subject Tutor to meet the deadline for assessment.  The unit will then be passed back to the </w:t>
      </w:r>
      <w:r>
        <w:lastRenderedPageBreak/>
        <w:t>student with recommendations for improvement if it has been agreed with the Lead Internal Verifier.</w:t>
      </w:r>
    </w:p>
    <w:p>
      <w:pPr>
        <w:pStyle w:val="Heading2"/>
        <w:shd w:val="clear" w:color="auto" w:fill="E8EEF7"/>
      </w:pPr>
      <w:r>
        <w:t>5. Examination fees</w:t>
      </w:r>
    </w:p>
    <w:p>
      <w:pPr>
        <w:pStyle w:val="BodyText"/>
        <w:jc w:val="left"/>
        <w:rPr>
          <w:rFonts w:ascii="Verdana" w:hAnsi="Verdana"/>
          <w:b w:val="0"/>
          <w:sz w:val="24"/>
          <w:u w:val="single"/>
        </w:rPr>
      </w:pPr>
      <w:r>
        <w:rPr>
          <w:rFonts w:ascii="Verdana" w:hAnsi="Verdana"/>
          <w:b w:val="0"/>
          <w:sz w:val="24"/>
          <w:u w:val="single"/>
        </w:rPr>
        <w:t>5.1 Fees</w:t>
      </w:r>
    </w:p>
    <w:p>
      <w:pPr>
        <w:pStyle w:val="Heading1"/>
        <w:spacing w:after="240"/>
      </w:pPr>
      <w:r>
        <w:t>GCSE, AS, A2 and BTEC initial registration and entry fees are paid for by the Centre.</w:t>
      </w:r>
    </w:p>
    <w:p>
      <w:pPr>
        <w:pStyle w:val="Heading1"/>
        <w:spacing w:after="240"/>
      </w:pPr>
      <w:r>
        <w:t>Late entry or amendment fees are paid by the appropriate subject departments.</w:t>
      </w:r>
    </w:p>
    <w:p>
      <w:pPr>
        <w:pStyle w:val="Heading1"/>
        <w:spacing w:after="240"/>
      </w:pPr>
      <w:r>
        <w:t>Candidates or departments will not be charged for changes of tier, withdrawals made by the proper procedures or alterations arising from administrative processes, provided these are made within the time allowed by the awarding bodies.</w:t>
      </w:r>
    </w:p>
    <w:p>
      <w:pPr>
        <w:pStyle w:val="Heading1"/>
        <w:spacing w:after="240"/>
      </w:pPr>
      <w:r>
        <w:t>A parent or student requesting a change of tier against the recommendations of the school will be liable for the cost.</w:t>
      </w:r>
    </w:p>
    <w:p>
      <w:pPr>
        <w:pStyle w:val="Heading1"/>
        <w:spacing w:after="240"/>
      </w:pPr>
      <w:r>
        <w:t>Reimbursement will be sought from candidates who fail to sit an examination or meet the necessary controlled assessment requirements.</w:t>
      </w:r>
    </w:p>
    <w:p>
      <w:pPr>
        <w:pStyle w:val="Heading1"/>
        <w:spacing w:after="240"/>
      </w:pPr>
      <w:r>
        <w:t>This fees reimbursement policy will be communicated in writing to candidates and parents/carers at the start of GCSE and Post-16 courses.</w:t>
      </w:r>
    </w:p>
    <w:p>
      <w:pPr>
        <w:pStyle w:val="Heading1"/>
        <w:spacing w:after="240"/>
      </w:pPr>
      <w:r>
        <w:t>Retake fees for GCSE English and GCSE Mathematics and where resiting the examination is recommended by the school are paid for by the Centre.  Fees for all other retakes are charged to the candidate.</w:t>
      </w:r>
    </w:p>
    <w:p>
      <w:pPr>
        <w:pStyle w:val="Heading1"/>
        <w:spacing w:after="240"/>
      </w:pPr>
      <w:r>
        <w:t>Candidates must pay the fee for an enquiry about a result, should the Centre not uphold the enquiry and the candidate insists on pursuing the enquiry.</w:t>
      </w:r>
    </w:p>
    <w:p>
      <w:pPr>
        <w:pStyle w:val="BodyText"/>
      </w:pPr>
    </w:p>
    <w:p>
      <w:pPr>
        <w:pStyle w:val="Heading2"/>
        <w:shd w:val="clear" w:color="auto" w:fill="E8EEF7"/>
      </w:pPr>
    </w:p>
    <w:p>
      <w:pPr>
        <w:pStyle w:val="Heading2"/>
        <w:shd w:val="clear" w:color="auto" w:fill="E8EEF7"/>
      </w:pPr>
      <w:r>
        <w:t>6. The Equality Act 2010.  Special needs, access arrangements and special consideration</w:t>
      </w:r>
    </w:p>
    <w:p>
      <w:pPr>
        <w:pStyle w:val="Heading1"/>
        <w:tabs>
          <w:tab w:val="clear" w:pos="432"/>
        </w:tabs>
        <w:ind w:firstLine="0"/>
        <w:rPr>
          <w:u w:val="single"/>
        </w:rPr>
      </w:pPr>
      <w:r>
        <w:rPr>
          <w:u w:val="single"/>
        </w:rPr>
        <w:t>6.1 Equality</w:t>
      </w:r>
    </w:p>
    <w:p>
      <w:pPr>
        <w:pStyle w:val="Heading1"/>
        <w:tabs>
          <w:tab w:val="clear" w:pos="432"/>
        </w:tabs>
        <w:ind w:firstLine="0"/>
      </w:pPr>
      <w:r>
        <w:t xml:space="preserve">The Equality Act 2010 </w:t>
      </w:r>
      <w:r>
        <w:rPr>
          <w:rStyle w:val="WW8Num1z0"/>
          <w:rFonts w:ascii="Calibri" w:hAnsi="Calibri" w:cs="Calibri"/>
          <w:color w:val="000000"/>
          <w:shd w:val="clear" w:color="auto" w:fill="FFFFFF"/>
        </w:rPr>
        <w:t xml:space="preserve"> </w:t>
      </w:r>
      <w:r>
        <w:rPr>
          <w:rStyle w:val="c10"/>
          <w:rFonts w:cs="Calibri"/>
          <w:color w:val="000000"/>
          <w:shd w:val="clear" w:color="auto" w:fill="FFFFFF"/>
        </w:rPr>
        <w:t xml:space="preserve">replaced all existing equality legislation and extends the application to general qualifications.  All centre staff will </w:t>
      </w:r>
      <w:r>
        <w:rPr>
          <w:rStyle w:val="c10"/>
          <w:rFonts w:cs="Calibri"/>
          <w:color w:val="000000"/>
          <w:shd w:val="clear" w:color="auto" w:fill="FFFFFF"/>
        </w:rPr>
        <w:lastRenderedPageBreak/>
        <w:t xml:space="preserve">ensure that </w:t>
      </w:r>
      <w:r>
        <w:t xml:space="preserve">access arrangements and special consideration regulations and guidance are consistent with the law. </w:t>
      </w:r>
    </w:p>
    <w:p>
      <w:pPr>
        <w:pStyle w:val="Heading1"/>
        <w:tabs>
          <w:tab w:val="clear" w:pos="432"/>
        </w:tabs>
        <w:ind w:firstLine="0"/>
        <w:rPr>
          <w:u w:val="single"/>
        </w:rPr>
      </w:pPr>
      <w:r>
        <w:rPr>
          <w:u w:val="single"/>
        </w:rPr>
        <w:t>6.2 Special needs</w:t>
      </w:r>
    </w:p>
    <w:p>
      <w:pPr>
        <w:pStyle w:val="Heading1"/>
        <w:spacing w:before="0" w:after="240"/>
      </w:pPr>
      <w:r>
        <w:t>A candidate’s special needs requirements are determined by the  Director of Intervention and Inclusion and the educational psychologist /specialist teacher.</w:t>
      </w:r>
    </w:p>
    <w:p>
      <w:pPr>
        <w:pStyle w:val="Heading1"/>
        <w:tabs>
          <w:tab w:val="clear" w:pos="432"/>
        </w:tabs>
        <w:spacing w:before="0" w:after="240"/>
        <w:ind w:firstLine="0"/>
      </w:pPr>
      <w:r>
        <w:t>The  Director of Intervention and Inclusion will inform subject teachers of candidates with special educational needs who are embarking on a course leading to an examination, and the date of that examination. The  Director of Intervention and Inclusion can then inform individual staff of any special arrangements that individual candidates may be granted during the course and in the examination.</w:t>
      </w:r>
    </w:p>
    <w:p>
      <w:pPr>
        <w:pStyle w:val="Heading1"/>
        <w:tabs>
          <w:tab w:val="clear" w:pos="432"/>
        </w:tabs>
        <w:spacing w:before="0" w:after="240"/>
        <w:ind w:firstLine="0"/>
        <w:rPr>
          <w:u w:val="single"/>
        </w:rPr>
      </w:pPr>
      <w:r>
        <w:br/>
      </w:r>
      <w:r>
        <w:rPr>
          <w:u w:val="single"/>
        </w:rPr>
        <w:t>6.3 Access arrangements</w:t>
      </w:r>
    </w:p>
    <w:p>
      <w:pPr>
        <w:pStyle w:val="Heading1"/>
        <w:spacing w:before="0" w:after="240"/>
      </w:pPr>
      <w:r>
        <w:t>Making special arrangements for candidates to take examinations is the responsibility of the  Data &amp; Assessment Manager.</w:t>
      </w:r>
    </w:p>
    <w:p>
      <w:pPr>
        <w:pStyle w:val="Heading1"/>
        <w:spacing w:before="0" w:after="240"/>
      </w:pPr>
      <w:r>
        <w:t>Submitting completed access arrangement applications to the awarding bodies is the responsibility of the  Data &amp; Assessment Manager.</w:t>
      </w:r>
    </w:p>
    <w:p>
      <w:pPr>
        <w:pStyle w:val="Heading1"/>
        <w:spacing w:before="0" w:after="240"/>
      </w:pPr>
      <w:r>
        <w:t>Rooming for access arrangement candidates will be arranged by the  Director of Inclusion &amp; Intervention with the  Data &amp; Assessment Manager.</w:t>
      </w:r>
    </w:p>
    <w:p>
      <w:pPr>
        <w:pStyle w:val="Heading1"/>
        <w:spacing w:before="0" w:after="240"/>
        <w:rPr>
          <w:u w:val="single"/>
        </w:rPr>
      </w:pPr>
      <w:r>
        <w:t>Invigilation and support for access arrangement candidates will be organised by the  Data &amp; Assessment Manager.</w:t>
      </w:r>
      <w:r>
        <w:br/>
      </w:r>
    </w:p>
    <w:p>
      <w:pPr>
        <w:pStyle w:val="Heading1"/>
        <w:tabs>
          <w:tab w:val="clear" w:pos="432"/>
        </w:tabs>
        <w:spacing w:before="0" w:after="240"/>
        <w:ind w:firstLine="0"/>
        <w:rPr>
          <w:u w:val="single"/>
        </w:rPr>
      </w:pPr>
      <w:r>
        <w:rPr>
          <w:u w:val="single"/>
        </w:rPr>
        <w:t>Reasonable Adjustments</w:t>
      </w:r>
    </w:p>
    <w:p>
      <w:pPr>
        <w:pStyle w:val="Default"/>
        <w:rPr>
          <w:rFonts w:ascii="Verdana" w:hAnsi="Verdana"/>
          <w:sz w:val="22"/>
          <w:szCs w:val="22"/>
        </w:rPr>
      </w:pPr>
      <w:r>
        <w:rPr>
          <w:rFonts w:ascii="Verdana" w:hAnsi="Verdana"/>
          <w:sz w:val="22"/>
          <w:szCs w:val="22"/>
        </w:rPr>
        <w:t xml:space="preserve">A reasonable adjustment is any action that helps to reduce the effect of disability or difficulty that places the learner at a substantial disadvantage in the assessment situation.  It is made to an assessment for a qualification to enable a disadvantaged learner to demonstrate his or her knowledge, skills and understanding of the levels of attainment required by the specification for that qualification. </w:t>
      </w:r>
    </w:p>
    <w:p>
      <w:pPr>
        <w:pStyle w:val="Default"/>
        <w:rPr>
          <w:rFonts w:ascii="Verdana" w:hAnsi="Verdana"/>
          <w:sz w:val="22"/>
          <w:szCs w:val="22"/>
          <w:highlight w:val="yellow"/>
        </w:rPr>
      </w:pPr>
    </w:p>
    <w:p>
      <w:pPr>
        <w:pStyle w:val="Default"/>
        <w:rPr>
          <w:rFonts w:ascii="Verdana" w:hAnsi="Verdana"/>
          <w:sz w:val="22"/>
          <w:szCs w:val="22"/>
        </w:rPr>
      </w:pPr>
      <w:r>
        <w:rPr>
          <w:rFonts w:ascii="Verdana" w:hAnsi="Verdana"/>
          <w:sz w:val="22"/>
          <w:szCs w:val="22"/>
        </w:rPr>
        <w:t>Reasonable adjustments must not affect the integrity of what needs to be assessed but may involve:</w:t>
      </w:r>
    </w:p>
    <w:p>
      <w:pPr>
        <w:pStyle w:val="Default"/>
      </w:pPr>
    </w:p>
    <w:p>
      <w:pPr>
        <w:pStyle w:val="Default"/>
        <w:numPr>
          <w:ilvl w:val="0"/>
          <w:numId w:val="9"/>
        </w:numPr>
        <w:spacing w:after="67"/>
        <w:rPr>
          <w:rFonts w:ascii="Verdana" w:hAnsi="Verdana"/>
          <w:sz w:val="22"/>
          <w:szCs w:val="22"/>
        </w:rPr>
      </w:pPr>
      <w:r>
        <w:rPr>
          <w:rFonts w:ascii="Verdana" w:hAnsi="Verdana"/>
          <w:sz w:val="22"/>
          <w:szCs w:val="22"/>
        </w:rPr>
        <w:t xml:space="preserve">changing usual assessment arrangements, for example allowing a learner extra time or rest breaks to complete the assessment activity </w:t>
      </w:r>
    </w:p>
    <w:p>
      <w:pPr>
        <w:pStyle w:val="Default"/>
        <w:numPr>
          <w:ilvl w:val="0"/>
          <w:numId w:val="9"/>
        </w:numPr>
        <w:spacing w:after="67"/>
        <w:rPr>
          <w:rFonts w:ascii="Verdana" w:hAnsi="Verdana"/>
          <w:sz w:val="22"/>
          <w:szCs w:val="22"/>
        </w:rPr>
      </w:pPr>
      <w:r>
        <w:rPr>
          <w:rFonts w:ascii="Verdana" w:hAnsi="Verdana"/>
          <w:sz w:val="22"/>
          <w:szCs w:val="22"/>
        </w:rPr>
        <w:t xml:space="preserve">adapting assessment materials, such as providing enlarged scripts or materials in Braille </w:t>
      </w:r>
    </w:p>
    <w:p>
      <w:pPr>
        <w:pStyle w:val="Default"/>
        <w:numPr>
          <w:ilvl w:val="0"/>
          <w:numId w:val="9"/>
        </w:numPr>
        <w:spacing w:after="67"/>
        <w:rPr>
          <w:rFonts w:ascii="Verdana" w:hAnsi="Verdana"/>
          <w:sz w:val="22"/>
          <w:szCs w:val="22"/>
        </w:rPr>
      </w:pPr>
      <w:r>
        <w:rPr>
          <w:rFonts w:ascii="Verdana" w:hAnsi="Verdana"/>
          <w:sz w:val="22"/>
          <w:szCs w:val="22"/>
        </w:rPr>
        <w:t xml:space="preserve">providing assistance during assessment, such as a sign language interpreter a reader or a scribe. </w:t>
      </w:r>
    </w:p>
    <w:p>
      <w:pPr>
        <w:pStyle w:val="Default"/>
        <w:numPr>
          <w:ilvl w:val="0"/>
          <w:numId w:val="9"/>
        </w:numPr>
        <w:spacing w:after="67"/>
        <w:rPr>
          <w:rFonts w:ascii="Verdana" w:hAnsi="Verdana"/>
          <w:sz w:val="22"/>
          <w:szCs w:val="22"/>
        </w:rPr>
      </w:pPr>
      <w:r>
        <w:rPr>
          <w:rFonts w:ascii="Verdana" w:hAnsi="Verdana"/>
          <w:sz w:val="22"/>
          <w:szCs w:val="22"/>
        </w:rPr>
        <w:lastRenderedPageBreak/>
        <w:t xml:space="preserve">re-organising the assessment room, such as removing visual stimuli for an autistic learner </w:t>
      </w:r>
    </w:p>
    <w:p>
      <w:pPr>
        <w:pStyle w:val="Default"/>
        <w:numPr>
          <w:ilvl w:val="0"/>
          <w:numId w:val="9"/>
        </w:numPr>
        <w:spacing w:after="67"/>
        <w:rPr>
          <w:rFonts w:ascii="Verdana" w:hAnsi="Verdana"/>
          <w:sz w:val="22"/>
          <w:szCs w:val="22"/>
        </w:rPr>
      </w:pPr>
      <w:r>
        <w:rPr>
          <w:rFonts w:ascii="Verdana" w:hAnsi="Verdana"/>
          <w:sz w:val="22"/>
          <w:szCs w:val="22"/>
        </w:rPr>
        <w:t xml:space="preserve">using assistive technology, such as laptops or voice activated software </w:t>
      </w:r>
    </w:p>
    <w:p>
      <w:pPr>
        <w:pStyle w:val="Default"/>
        <w:numPr>
          <w:ilvl w:val="0"/>
          <w:numId w:val="9"/>
        </w:numPr>
        <w:rPr>
          <w:rFonts w:ascii="Verdana" w:hAnsi="Verdana"/>
          <w:sz w:val="22"/>
          <w:szCs w:val="22"/>
        </w:rPr>
      </w:pPr>
      <w:r>
        <w:rPr>
          <w:rFonts w:ascii="Verdana" w:hAnsi="Verdana"/>
          <w:sz w:val="22"/>
          <w:szCs w:val="22"/>
        </w:rPr>
        <w:t>providing and allowing different coloured transparencies with which to view assessment papers</w:t>
      </w:r>
    </w:p>
    <w:p>
      <w:pPr>
        <w:pStyle w:val="Default"/>
        <w:ind w:left="720"/>
        <w:rPr>
          <w:rFonts w:ascii="Verdana" w:hAnsi="Verdana"/>
          <w:sz w:val="22"/>
          <w:szCs w:val="22"/>
        </w:rPr>
      </w:pPr>
    </w:p>
    <w:p>
      <w:pPr>
        <w:pStyle w:val="Default"/>
        <w:rPr>
          <w:rFonts w:ascii="Verdana" w:hAnsi="Verdana"/>
          <w:sz w:val="22"/>
          <w:szCs w:val="22"/>
        </w:rPr>
      </w:pPr>
      <w:r>
        <w:rPr>
          <w:rFonts w:ascii="Verdana" w:hAnsi="Verdana"/>
          <w:sz w:val="22"/>
          <w:szCs w:val="22"/>
        </w:rPr>
        <w:t xml:space="preserve">Reasonable adjustments are approved or set in place before the assessment activity takes place; they constitute an arrangement to give the learner access to the programme.  Reasonable adjustment will only be applied to reflect a candidate’s ususal way of learning; proof of this will be required.  </w:t>
      </w:r>
    </w:p>
    <w:p>
      <w:pPr>
        <w:pStyle w:val="Default"/>
        <w:rPr>
          <w:rFonts w:ascii="Verdana" w:hAnsi="Verdana"/>
          <w:sz w:val="22"/>
          <w:szCs w:val="22"/>
        </w:rPr>
      </w:pPr>
    </w:p>
    <w:p>
      <w:pPr>
        <w:pStyle w:val="Default"/>
        <w:rPr>
          <w:rFonts w:ascii="Verdana" w:hAnsi="Verdana"/>
          <w:sz w:val="22"/>
          <w:szCs w:val="22"/>
        </w:rPr>
      </w:pPr>
      <w:r>
        <w:rPr>
          <w:rFonts w:ascii="Verdana" w:hAnsi="Verdana"/>
          <w:sz w:val="22"/>
          <w:szCs w:val="22"/>
        </w:rPr>
        <w:t>Awarding Bodies and centres are only required by law to do what is ‘reasonable’ in terms of giving access. What is reasonable will depend on the individual circumstances, cost implications and the practicality and effectiveness of the adjustment.  Other factors, such as the need to maintain competence standards and health and safety, will also be taken into consideration.</w:t>
      </w:r>
    </w:p>
    <w:p>
      <w:pPr>
        <w:pStyle w:val="Default"/>
        <w:rPr>
          <w:rFonts w:ascii="Verdana" w:hAnsi="Verdana"/>
          <w:sz w:val="22"/>
          <w:szCs w:val="22"/>
        </w:rPr>
      </w:pPr>
    </w:p>
    <w:p>
      <w:pPr>
        <w:pStyle w:val="Default"/>
        <w:rPr>
          <w:rFonts w:ascii="Verdana" w:hAnsi="Verdana"/>
          <w:sz w:val="22"/>
          <w:szCs w:val="22"/>
          <w:u w:val="single"/>
        </w:rPr>
      </w:pPr>
      <w:r>
        <w:rPr>
          <w:rFonts w:ascii="Verdana" w:hAnsi="Verdana"/>
          <w:sz w:val="22"/>
          <w:szCs w:val="22"/>
          <w:u w:val="single"/>
        </w:rPr>
        <w:t>Special Consideration</w:t>
      </w:r>
    </w:p>
    <w:p>
      <w:pPr>
        <w:pStyle w:val="Default"/>
        <w:rPr>
          <w:rFonts w:ascii="Verdana" w:hAnsi="Verdana"/>
          <w:sz w:val="22"/>
          <w:szCs w:val="22"/>
          <w:u w:val="single"/>
        </w:rPr>
      </w:pPr>
    </w:p>
    <w:p>
      <w:pPr>
        <w:pStyle w:val="Default"/>
        <w:rPr>
          <w:rFonts w:ascii="Verdana" w:hAnsi="Verdana"/>
          <w:sz w:val="22"/>
          <w:szCs w:val="22"/>
        </w:rPr>
      </w:pPr>
      <w:r>
        <w:rPr>
          <w:rFonts w:ascii="Verdana" w:hAnsi="Verdana"/>
          <w:sz w:val="22"/>
          <w:szCs w:val="22"/>
        </w:rPr>
        <w:t xml:space="preserve">Special consideration can be applied after an assessment if there was a reason the learner may have been disadvantaged during an assessment.  </w:t>
      </w:r>
    </w:p>
    <w:p>
      <w:pPr>
        <w:pStyle w:val="Default"/>
        <w:rPr>
          <w:rFonts w:ascii="Verdana" w:hAnsi="Verdana"/>
          <w:sz w:val="22"/>
          <w:szCs w:val="22"/>
        </w:rPr>
      </w:pPr>
    </w:p>
    <w:p>
      <w:pPr>
        <w:pStyle w:val="Default"/>
        <w:rPr>
          <w:rFonts w:ascii="Verdana" w:hAnsi="Verdana"/>
          <w:sz w:val="22"/>
          <w:szCs w:val="22"/>
        </w:rPr>
      </w:pPr>
      <w:r>
        <w:rPr>
          <w:rFonts w:ascii="Verdana" w:hAnsi="Verdana"/>
          <w:sz w:val="22"/>
          <w:szCs w:val="22"/>
        </w:rPr>
        <w:t>Special consideration should not give the candidate an unfair advantage and will only be applied to recent, unexpected illness, injury or events beyond a candidate’s control which have had, or are likely to have had an effect on the candidate’s ability to take an assessment or demonstrate their level of attainment in an assessment.  It will not be applied to long term ailments as candidates are expected to manage their medication accordingly.</w:t>
      </w:r>
    </w:p>
    <w:p>
      <w:pPr>
        <w:pStyle w:val="Default"/>
        <w:rPr>
          <w:rFonts w:ascii="Verdana" w:hAnsi="Verdana"/>
          <w:sz w:val="22"/>
          <w:szCs w:val="22"/>
        </w:rPr>
      </w:pPr>
    </w:p>
    <w:p>
      <w:pPr>
        <w:pStyle w:val="Default"/>
        <w:rPr>
          <w:rFonts w:ascii="Verdana" w:hAnsi="Verdana"/>
          <w:sz w:val="22"/>
          <w:szCs w:val="22"/>
        </w:rPr>
      </w:pPr>
      <w:r>
        <w:rPr>
          <w:rFonts w:ascii="Verdana" w:hAnsi="Verdana"/>
          <w:sz w:val="22"/>
          <w:szCs w:val="22"/>
        </w:rPr>
        <w:t xml:space="preserve">In order to qualify for special consideration a candidate must </w:t>
      </w:r>
    </w:p>
    <w:p>
      <w:pPr>
        <w:pStyle w:val="Default"/>
        <w:rPr>
          <w:rFonts w:ascii="Verdana" w:hAnsi="Verdana"/>
          <w:sz w:val="22"/>
          <w:szCs w:val="22"/>
        </w:rPr>
      </w:pPr>
    </w:p>
    <w:p>
      <w:pPr>
        <w:pStyle w:val="Default"/>
        <w:numPr>
          <w:ilvl w:val="0"/>
          <w:numId w:val="10"/>
        </w:numPr>
        <w:rPr>
          <w:rFonts w:ascii="Verdana" w:hAnsi="Verdana"/>
          <w:sz w:val="22"/>
          <w:szCs w:val="22"/>
        </w:rPr>
      </w:pPr>
      <w:r>
        <w:rPr>
          <w:rFonts w:ascii="Verdana" w:hAnsi="Verdana"/>
          <w:sz w:val="22"/>
          <w:szCs w:val="22"/>
        </w:rPr>
        <w:t>Have completed a minimum of 50% of the qualifications assessment criteria.</w:t>
      </w:r>
    </w:p>
    <w:p>
      <w:pPr>
        <w:pStyle w:val="Default"/>
        <w:ind w:left="720"/>
        <w:rPr>
          <w:rFonts w:ascii="Verdana" w:hAnsi="Verdana"/>
          <w:sz w:val="22"/>
          <w:szCs w:val="22"/>
        </w:rPr>
      </w:pPr>
    </w:p>
    <w:p>
      <w:pPr>
        <w:pStyle w:val="Heading1"/>
        <w:numPr>
          <w:ilvl w:val="0"/>
          <w:numId w:val="10"/>
        </w:numPr>
        <w:spacing w:before="0" w:after="240"/>
      </w:pPr>
      <w:r>
        <w:t>If too ill to sit an examination, suffer bereavement or other trauma or be taken ill during the examination itself alert the Centre, or the examination invigilator immediately to that effect.</w:t>
      </w:r>
    </w:p>
    <w:p>
      <w:pPr>
        <w:pStyle w:val="Heading1"/>
        <w:numPr>
          <w:ilvl w:val="0"/>
          <w:numId w:val="10"/>
        </w:numPr>
        <w:spacing w:before="0" w:after="240"/>
      </w:pPr>
      <w:r>
        <w:t>Provide appropriate evidence within five days of the examination, for example a letter from the candidate’s doctor.</w:t>
      </w:r>
    </w:p>
    <w:p>
      <w:pPr>
        <w:pStyle w:val="Heading1"/>
        <w:numPr>
          <w:ilvl w:val="0"/>
          <w:numId w:val="10"/>
        </w:numPr>
        <w:spacing w:before="0" w:after="240"/>
      </w:pPr>
      <w:r>
        <w:t>The  Data &amp; Assessment Manager will then forward a completed special consideration form to the relevant awarding body within seven days of the examination.</w:t>
      </w:r>
    </w:p>
    <w:p>
      <w:pPr>
        <w:pStyle w:val="Default"/>
        <w:rPr>
          <w:rFonts w:ascii="Verdana" w:hAnsi="Verdana"/>
          <w:sz w:val="22"/>
          <w:szCs w:val="22"/>
        </w:rPr>
      </w:pPr>
      <w:r>
        <w:rPr>
          <w:rFonts w:ascii="Verdana" w:hAnsi="Verdana"/>
          <w:sz w:val="22"/>
          <w:szCs w:val="22"/>
        </w:rPr>
        <w:t xml:space="preserve">Special consideration, if successful, may result in a small post-assessment adjustment to the mark of the candidate.  The size of the adjustment will </w:t>
      </w:r>
      <w:r>
        <w:rPr>
          <w:rFonts w:ascii="Verdana" w:hAnsi="Verdana"/>
          <w:sz w:val="22"/>
          <w:szCs w:val="22"/>
        </w:rPr>
        <w:lastRenderedPageBreak/>
        <w:t>depend on the circumstances and reflect the difficulty faced by the candidate.</w:t>
      </w:r>
    </w:p>
    <w:p>
      <w:pPr>
        <w:pStyle w:val="Heading1"/>
        <w:tabs>
          <w:tab w:val="clear" w:pos="432"/>
        </w:tabs>
        <w:spacing w:before="0" w:after="240"/>
        <w:ind w:firstLine="0"/>
      </w:pPr>
    </w:p>
    <w:p>
      <w:pPr>
        <w:pStyle w:val="Heading2"/>
        <w:shd w:val="clear" w:color="auto" w:fill="E8EEF7"/>
      </w:pPr>
      <w:r>
        <w:t>7. Estimated grades</w:t>
      </w:r>
    </w:p>
    <w:p>
      <w:pPr>
        <w:pStyle w:val="Heading1"/>
        <w:tabs>
          <w:tab w:val="clear" w:pos="432"/>
        </w:tabs>
        <w:ind w:firstLine="0"/>
        <w:rPr>
          <w:u w:val="single"/>
        </w:rPr>
      </w:pPr>
      <w:r>
        <w:rPr>
          <w:u w:val="single"/>
        </w:rPr>
        <w:t>7.1 Estimated grades</w:t>
      </w:r>
    </w:p>
    <w:p>
      <w:pPr>
        <w:pStyle w:val="Heading1"/>
        <w:spacing w:before="0" w:after="0"/>
      </w:pPr>
      <w:r>
        <w:t xml:space="preserve">The relevant Lead Professional will submit estimated grades to the  Data &amp; Assessment Manager within the deadline set by the Awarding Bodies. </w:t>
      </w:r>
    </w:p>
    <w:p>
      <w:pPr>
        <w:pStyle w:val="Heading2"/>
        <w:shd w:val="clear" w:color="auto" w:fill="E8EEF7"/>
      </w:pPr>
      <w:r>
        <w:t>8. Managing invigilators and examination days</w:t>
      </w:r>
    </w:p>
    <w:p>
      <w:pPr>
        <w:pStyle w:val="Heading1"/>
        <w:tabs>
          <w:tab w:val="clear" w:pos="432"/>
        </w:tabs>
        <w:ind w:firstLine="0"/>
        <w:rPr>
          <w:u w:val="single"/>
        </w:rPr>
      </w:pPr>
      <w:r>
        <w:rPr>
          <w:u w:val="single"/>
        </w:rPr>
        <w:t>8.1 Managing invigilators</w:t>
      </w:r>
    </w:p>
    <w:p>
      <w:pPr>
        <w:pStyle w:val="Heading1"/>
        <w:spacing w:before="0" w:after="240"/>
      </w:pPr>
      <w:r>
        <w:t>External invigilators will be used for examination supervision.</w:t>
      </w:r>
      <w:r>
        <w:br/>
        <w:t>They will be used for all examinations.</w:t>
      </w:r>
    </w:p>
    <w:p>
      <w:pPr>
        <w:pStyle w:val="Heading1"/>
        <w:spacing w:before="0" w:after="240"/>
      </w:pPr>
      <w:r>
        <w:t>The recruitment of invigilators is the responsibility of the  Data &amp; Assessment Manager.</w:t>
      </w:r>
    </w:p>
    <w:p>
      <w:pPr>
        <w:pStyle w:val="Heading1"/>
        <w:spacing w:before="0" w:after="240"/>
      </w:pPr>
      <w:r>
        <w:t>Securing the necessary Disclosure and Barring Service (DBS) clearance for new invigilators is the responsibility of the  HR Director.</w:t>
      </w:r>
    </w:p>
    <w:p>
      <w:pPr>
        <w:pStyle w:val="Heading1"/>
        <w:spacing w:before="0" w:after="240"/>
      </w:pPr>
      <w:r>
        <w:t>DBS fees for securing such clearance are paid by the Centre.</w:t>
      </w:r>
    </w:p>
    <w:p>
      <w:pPr>
        <w:pStyle w:val="Heading1"/>
        <w:spacing w:before="0" w:after="240"/>
      </w:pPr>
      <w:r>
        <w:t>Invigilators are timetabled and briefed by the  Data &amp; Assessment Manager.</w:t>
      </w:r>
    </w:p>
    <w:p>
      <w:pPr>
        <w:pStyle w:val="Heading1"/>
        <w:spacing w:before="0" w:after="240"/>
      </w:pPr>
      <w:r>
        <w:t>Invigilators’ rates of pay are set by the Executive Headteacher and the  Director of Finance &amp; Support Services.</w:t>
      </w:r>
    </w:p>
    <w:p>
      <w:pPr>
        <w:pStyle w:val="Heading1"/>
        <w:spacing w:before="0" w:after="240"/>
        <w:rPr>
          <w:u w:val="single"/>
        </w:rPr>
      </w:pPr>
      <w:r>
        <w:t>Regular invigilator observations will be carried out by the  Data &amp; Assessment Manager.</w:t>
      </w:r>
      <w:r>
        <w:br/>
      </w:r>
      <w:r>
        <w:br/>
      </w:r>
    </w:p>
    <w:p>
      <w:pPr>
        <w:pStyle w:val="Heading1"/>
        <w:tabs>
          <w:tab w:val="clear" w:pos="432"/>
        </w:tabs>
        <w:spacing w:before="0" w:after="240"/>
        <w:ind w:firstLine="0"/>
        <w:rPr>
          <w:u w:val="single"/>
        </w:rPr>
      </w:pPr>
    </w:p>
    <w:p>
      <w:pPr>
        <w:pStyle w:val="Heading1"/>
        <w:tabs>
          <w:tab w:val="clear" w:pos="432"/>
        </w:tabs>
        <w:spacing w:before="0" w:after="240"/>
        <w:ind w:firstLine="0"/>
        <w:rPr>
          <w:u w:val="single"/>
        </w:rPr>
      </w:pPr>
      <w:r>
        <w:br/>
      </w:r>
      <w:r>
        <w:rPr>
          <w:u w:val="single"/>
        </w:rPr>
        <w:t>8.2 Examination days</w:t>
      </w:r>
    </w:p>
    <w:p>
      <w:pPr>
        <w:pStyle w:val="Heading1"/>
        <w:spacing w:before="0" w:after="240"/>
      </w:pPr>
      <w:r>
        <w:t>The  Data &amp; Assessment Manager will book all examination rooms after liaison with the cover supervisor and make the question papers, other examination stationery and materials available for the invigilator.</w:t>
      </w:r>
    </w:p>
    <w:p>
      <w:pPr>
        <w:pStyle w:val="Heading1"/>
        <w:spacing w:before="0" w:after="240"/>
      </w:pPr>
      <w:r>
        <w:t>The Senior site supervisor and site team are responsible for setting up the allocated rooms.</w:t>
      </w:r>
    </w:p>
    <w:p>
      <w:pPr>
        <w:pStyle w:val="Heading1"/>
        <w:spacing w:before="0" w:after="240"/>
      </w:pPr>
      <w:r>
        <w:t>The Lead Invigilator will start all examinations in accordance with JCQ guidelines.</w:t>
      </w:r>
    </w:p>
    <w:p>
      <w:pPr>
        <w:pStyle w:val="Heading1"/>
        <w:spacing w:before="0" w:after="240"/>
      </w:pPr>
      <w:r>
        <w:lastRenderedPageBreak/>
        <w:t xml:space="preserve">The  Data &amp; Assessment Manager will be present at the start of the examinations to assist with identification of candidates. </w:t>
      </w:r>
    </w:p>
    <w:p>
      <w:pPr>
        <w:pStyle w:val="Heading1"/>
        <w:spacing w:before="0" w:after="240"/>
      </w:pPr>
      <w:r>
        <w:t>In practical examinations subject teachers may be on hand in case of any technical difficulties.</w:t>
      </w:r>
    </w:p>
    <w:p>
      <w:pPr>
        <w:pStyle w:val="Heading1"/>
        <w:spacing w:before="0" w:after="240"/>
      </w:pPr>
      <w:r>
        <w:t>Examination papers must not be read by subject teachers or removed from the examination room before the end of a session. Papers will be distributed to Lead Professionals at the end of the examination session.</w:t>
      </w:r>
    </w:p>
    <w:p>
      <w:pPr>
        <w:pStyle w:val="Heading2"/>
        <w:shd w:val="clear" w:color="auto" w:fill="E8EEF7"/>
      </w:pPr>
      <w:r>
        <w:t>9. Candidates, clash candidates and special consideration</w:t>
      </w:r>
    </w:p>
    <w:p>
      <w:pPr>
        <w:pStyle w:val="Heading1"/>
        <w:tabs>
          <w:tab w:val="clear" w:pos="432"/>
        </w:tabs>
        <w:ind w:firstLine="0"/>
        <w:rPr>
          <w:u w:val="single"/>
        </w:rPr>
      </w:pPr>
      <w:r>
        <w:rPr>
          <w:u w:val="single"/>
        </w:rPr>
        <w:t>9.1 Candidates</w:t>
      </w:r>
    </w:p>
    <w:p>
      <w:pPr>
        <w:pStyle w:val="Heading1"/>
        <w:spacing w:before="0" w:after="240"/>
      </w:pPr>
      <w:r>
        <w:t>The Centre’s published rules on acceptable dress, behaviour and candidates’ use of mobile phones and all electronic devices apply at all times.</w:t>
      </w:r>
    </w:p>
    <w:p>
      <w:pPr>
        <w:pStyle w:val="Heading1"/>
        <w:spacing w:before="0" w:after="240"/>
      </w:pPr>
      <w:r>
        <w:t>Candidates’ personal belongings remain their own responsibility and the Centre accepts no liability for their loss or damage.</w:t>
      </w:r>
    </w:p>
    <w:p>
      <w:pPr>
        <w:pStyle w:val="Heading1"/>
        <w:spacing w:before="0" w:after="240"/>
      </w:pPr>
      <w:r>
        <w:t xml:space="preserve">Disruptive candidates are dealt with in accordance with JCQ </w:t>
      </w:r>
    </w:p>
    <w:p>
      <w:pPr>
        <w:pStyle w:val="Heading1"/>
        <w:spacing w:before="0" w:after="240"/>
      </w:pPr>
      <w:r>
        <w:t>Candidates may leave the examination room for a genuine purpose requiring an immediate return to the examination room, in which case a member of staff must accompany them.  The  Data &amp; Assessment Manager will attempt to contact any candidate who is not present at the start of an examination and deal with them in accordance with JCQ guidelines.</w:t>
      </w:r>
    </w:p>
    <w:p>
      <w:pPr>
        <w:pStyle w:val="Heading1"/>
        <w:tabs>
          <w:tab w:val="clear" w:pos="432"/>
        </w:tabs>
        <w:spacing w:before="0" w:after="240"/>
        <w:ind w:firstLine="0"/>
        <w:rPr>
          <w:u w:val="single"/>
        </w:rPr>
      </w:pPr>
      <w:r>
        <w:rPr>
          <w:u w:val="single"/>
        </w:rPr>
        <w:t>9.2 Clash candidates</w:t>
      </w:r>
    </w:p>
    <w:p>
      <w:pPr>
        <w:pStyle w:val="Heading1"/>
        <w:spacing w:before="0" w:after="240"/>
      </w:pPr>
      <w:r>
        <w:t>The  Data &amp; Assessment Manager will be responsible as necessary for identifying escorts, identifying a secure venue and arranging supervision.</w:t>
      </w:r>
    </w:p>
    <w:p>
      <w:pPr>
        <w:pStyle w:val="Heading2"/>
        <w:shd w:val="clear" w:color="auto" w:fill="E8EEF7"/>
      </w:pPr>
      <w:r>
        <w:t>10. Controlled assessment and appeals against internal assessments</w:t>
      </w:r>
    </w:p>
    <w:p>
      <w:pPr>
        <w:pStyle w:val="Heading1"/>
        <w:tabs>
          <w:tab w:val="clear" w:pos="432"/>
        </w:tabs>
        <w:ind w:firstLine="0"/>
        <w:rPr>
          <w:u w:val="single"/>
        </w:rPr>
      </w:pPr>
      <w:r>
        <w:rPr>
          <w:u w:val="single"/>
        </w:rPr>
        <w:t>10.1 Controlled assessment</w:t>
      </w:r>
    </w:p>
    <w:p>
      <w:pPr>
        <w:pStyle w:val="Heading1"/>
        <w:tabs>
          <w:tab w:val="clear" w:pos="432"/>
        </w:tabs>
        <w:spacing w:before="0" w:after="240"/>
        <w:ind w:firstLine="0"/>
      </w:pPr>
      <w:r>
        <w:t>Candidates who have to prepare portfolios should do so by the end of the course or centre-defined date.</w:t>
      </w:r>
      <w:r>
        <w:br/>
        <w:t>Lead Professionals will ensure all controlled assessment is ready for despatch at the correct time and the  Data &amp; Assessment Manager will keep a record of what has been sent, when, and to whom.</w:t>
      </w:r>
      <w:r>
        <w:br/>
        <w:t>Marks for all internally assessed work are provided to the  Data &amp; Assessment Manager by the relevant Lead Professionals.</w:t>
      </w:r>
    </w:p>
    <w:p>
      <w:pPr>
        <w:pStyle w:val="Heading1"/>
        <w:tabs>
          <w:tab w:val="clear" w:pos="432"/>
        </w:tabs>
        <w:ind w:firstLine="0"/>
        <w:rPr>
          <w:u w:val="single"/>
        </w:rPr>
      </w:pPr>
      <w:r>
        <w:rPr>
          <w:u w:val="single"/>
        </w:rPr>
        <w:lastRenderedPageBreak/>
        <w:t>10.2 Appeals against internal assessments</w:t>
      </w:r>
    </w:p>
    <w:p>
      <w:pPr>
        <w:pStyle w:val="Heading1"/>
        <w:spacing w:before="0" w:after="240"/>
      </w:pPr>
      <w:r>
        <w:t>The Centre is obliged to publish a separate procedure on this subject, which is available from the  Data &amp; Assessment Manager.</w:t>
      </w:r>
      <w:r>
        <w:br/>
      </w:r>
      <w:r>
        <w:br/>
        <w:t>The main points are:</w:t>
      </w:r>
    </w:p>
    <w:p>
      <w:pPr>
        <w:pStyle w:val="Heading1"/>
        <w:spacing w:after="0"/>
      </w:pPr>
      <w:r>
        <w:t>Appeals will only be pursued if they apply to the process leading to an assessment. There is no appeal against the mark or grade awarded</w:t>
      </w:r>
    </w:p>
    <w:p>
      <w:pPr>
        <w:pStyle w:val="Heading1"/>
        <w:spacing w:before="0" w:after="0"/>
      </w:pPr>
      <w:r>
        <w:t>Candidates may appeal if they feel their controlled assessment has been assessed unfairly, inconsistently or not in accordance with the specification for the qualification</w:t>
      </w:r>
    </w:p>
    <w:p>
      <w:pPr>
        <w:pStyle w:val="Heading1"/>
        <w:spacing w:before="0" w:after="0"/>
      </w:pPr>
      <w:r>
        <w:t>Appeals should be made in writing by 30</w:t>
      </w:r>
      <w:r>
        <w:rPr>
          <w:vertAlign w:val="superscript"/>
        </w:rPr>
        <w:t>th</w:t>
      </w:r>
      <w:r>
        <w:t xml:space="preserve"> June to the Executive Headteacher who will decide whether the process used conformed to the necessary requirements</w:t>
      </w:r>
    </w:p>
    <w:p>
      <w:pPr>
        <w:pStyle w:val="Heading1"/>
        <w:spacing w:before="0" w:after="0"/>
        <w:ind w:left="431" w:hanging="431"/>
      </w:pPr>
      <w:r>
        <w:t>The Headteacher’s findings will be notified in writing, copied to the  Data &amp; Assessment Manager and recorded for awarding body inspection.</w:t>
      </w:r>
    </w:p>
    <w:p>
      <w:pPr>
        <w:pStyle w:val="Heading1"/>
        <w:spacing w:before="0"/>
      </w:pPr>
      <w:r>
        <w:t xml:space="preserve">  </w:t>
      </w:r>
    </w:p>
    <w:p>
      <w:pPr>
        <w:pStyle w:val="Heading2"/>
        <w:shd w:val="clear" w:color="auto" w:fill="E8EEF7"/>
        <w:rPr>
          <w:sz w:val="22"/>
          <w:szCs w:val="22"/>
        </w:rPr>
      </w:pPr>
      <w:r>
        <w:rPr>
          <w:sz w:val="22"/>
          <w:szCs w:val="22"/>
        </w:rPr>
        <w:t>11</w:t>
      </w:r>
      <w:r>
        <w:rPr>
          <w:sz w:val="24"/>
          <w:szCs w:val="24"/>
        </w:rPr>
        <w:t>. Plagiarism</w:t>
      </w:r>
    </w:p>
    <w:p>
      <w:pPr>
        <w:pStyle w:val="BodyText"/>
        <w:jc w:val="left"/>
        <w:rPr>
          <w:rFonts w:ascii="Verdana" w:hAnsi="Verdana"/>
          <w:b w:val="0"/>
          <w:sz w:val="22"/>
          <w:szCs w:val="22"/>
        </w:rPr>
      </w:pPr>
    </w:p>
    <w:p>
      <w:pPr>
        <w:pStyle w:val="BodyText"/>
        <w:jc w:val="left"/>
        <w:rPr>
          <w:rFonts w:ascii="Verdana" w:hAnsi="Verdana"/>
          <w:b w:val="0"/>
          <w:sz w:val="22"/>
          <w:szCs w:val="22"/>
        </w:rPr>
      </w:pPr>
      <w:r>
        <w:rPr>
          <w:rFonts w:ascii="Verdana" w:hAnsi="Verdana"/>
          <w:b w:val="0"/>
          <w:sz w:val="22"/>
          <w:szCs w:val="22"/>
        </w:rPr>
        <w:t xml:space="preserve">Plagiarism involves taking someone else’s words, thoughts or ideas and trying to pass them off as their own. It is a form of cheating which is taken very seriously.  There are many ways to detect plagiarism. </w:t>
      </w:r>
    </w:p>
    <w:p>
      <w:pPr>
        <w:pStyle w:val="BodyText"/>
        <w:jc w:val="left"/>
        <w:rPr>
          <w:rFonts w:ascii="Verdana" w:hAnsi="Verdana"/>
          <w:b w:val="0"/>
          <w:sz w:val="22"/>
          <w:szCs w:val="22"/>
        </w:rPr>
      </w:pPr>
    </w:p>
    <w:p>
      <w:pPr>
        <w:pStyle w:val="BodyText"/>
        <w:numPr>
          <w:ilvl w:val="0"/>
          <w:numId w:val="13"/>
        </w:numPr>
        <w:jc w:val="left"/>
        <w:rPr>
          <w:rFonts w:ascii="Verdana" w:hAnsi="Verdana"/>
          <w:b w:val="0"/>
          <w:sz w:val="22"/>
          <w:szCs w:val="22"/>
        </w:rPr>
      </w:pPr>
      <w:r>
        <w:rPr>
          <w:rFonts w:ascii="Verdana" w:hAnsi="Verdana"/>
          <w:b w:val="0"/>
          <w:sz w:val="22"/>
          <w:szCs w:val="22"/>
        </w:rPr>
        <w:t xml:space="preserve">Markers can spot changes in the style of writing and use of language. </w:t>
      </w:r>
    </w:p>
    <w:p>
      <w:pPr>
        <w:pStyle w:val="BodyText"/>
        <w:numPr>
          <w:ilvl w:val="0"/>
          <w:numId w:val="13"/>
        </w:numPr>
        <w:jc w:val="left"/>
        <w:rPr>
          <w:rFonts w:ascii="Verdana" w:hAnsi="Verdana"/>
          <w:b w:val="0"/>
          <w:sz w:val="22"/>
          <w:szCs w:val="22"/>
        </w:rPr>
      </w:pPr>
      <w:r>
        <w:rPr>
          <w:rFonts w:ascii="Verdana" w:hAnsi="Verdana"/>
          <w:b w:val="0"/>
          <w:sz w:val="22"/>
          <w:szCs w:val="22"/>
        </w:rPr>
        <w:t xml:space="preserve">Markers are highly experienced subject specialists who are very familiar with work on the topic concerned — they may have read the source students are using (or even marked the essay the student has copied from). </w:t>
      </w:r>
    </w:p>
    <w:p>
      <w:pPr>
        <w:pStyle w:val="BodyText"/>
        <w:numPr>
          <w:ilvl w:val="0"/>
          <w:numId w:val="13"/>
        </w:numPr>
        <w:jc w:val="left"/>
        <w:rPr>
          <w:rFonts w:ascii="Verdana" w:hAnsi="Verdana"/>
          <w:b w:val="0"/>
          <w:sz w:val="22"/>
          <w:szCs w:val="22"/>
        </w:rPr>
      </w:pPr>
      <w:r>
        <w:rPr>
          <w:rFonts w:ascii="Verdana" w:hAnsi="Verdana"/>
          <w:b w:val="0"/>
          <w:sz w:val="22"/>
          <w:szCs w:val="22"/>
        </w:rPr>
        <w:t xml:space="preserve">Internet search engines and specialised computer software can be used to match phrases or pieces of text with original sources and to detect changes in the grammar and style of writing or punctuation. </w:t>
      </w:r>
    </w:p>
    <w:p>
      <w:pPr>
        <w:pStyle w:val="BodyText"/>
        <w:jc w:val="left"/>
        <w:rPr>
          <w:rFonts w:ascii="Verdana" w:hAnsi="Verdana"/>
          <w:sz w:val="22"/>
          <w:szCs w:val="22"/>
        </w:rPr>
      </w:pPr>
    </w:p>
    <w:p>
      <w:pPr>
        <w:pStyle w:val="BodyText"/>
        <w:rPr>
          <w:rFonts w:ascii="Verdana" w:hAnsi="Verdana"/>
          <w:sz w:val="22"/>
          <w:szCs w:val="22"/>
        </w:rPr>
      </w:pPr>
    </w:p>
    <w:p>
      <w:pPr>
        <w:pStyle w:val="BodyText"/>
        <w:jc w:val="left"/>
        <w:rPr>
          <w:rFonts w:ascii="Verdana" w:hAnsi="Verdana"/>
          <w:b w:val="0"/>
          <w:sz w:val="22"/>
          <w:szCs w:val="22"/>
          <w:u w:val="single"/>
        </w:rPr>
      </w:pPr>
      <w:r>
        <w:rPr>
          <w:rFonts w:ascii="Verdana" w:hAnsi="Verdana"/>
          <w:b w:val="0"/>
          <w:sz w:val="22"/>
          <w:szCs w:val="22"/>
          <w:u w:val="single"/>
        </w:rPr>
        <w:t>11.1 Penalties for Plagiarism</w:t>
      </w:r>
    </w:p>
    <w:p>
      <w:pPr>
        <w:pStyle w:val="BodyText"/>
        <w:jc w:val="left"/>
        <w:rPr>
          <w:rFonts w:ascii="Verdana" w:hAnsi="Verdana"/>
          <w:b w:val="0"/>
          <w:sz w:val="22"/>
          <w:szCs w:val="22"/>
          <w:u w:val="single"/>
        </w:rPr>
      </w:pPr>
    </w:p>
    <w:p>
      <w:pPr>
        <w:pStyle w:val="BodyText"/>
        <w:jc w:val="left"/>
        <w:rPr>
          <w:rFonts w:ascii="Verdana" w:hAnsi="Verdana"/>
          <w:b w:val="0"/>
          <w:sz w:val="22"/>
          <w:szCs w:val="22"/>
        </w:rPr>
      </w:pPr>
      <w:r>
        <w:rPr>
          <w:rFonts w:ascii="Verdana" w:hAnsi="Verdana"/>
          <w:b w:val="0"/>
          <w:sz w:val="22"/>
          <w:szCs w:val="22"/>
        </w:rPr>
        <w:t xml:space="preserve">If work is submitted and it is discovered that the regulations have been broken, one of the following penalties will be applied: </w:t>
      </w:r>
    </w:p>
    <w:p>
      <w:pPr>
        <w:pStyle w:val="BodyText"/>
        <w:jc w:val="left"/>
        <w:rPr>
          <w:rFonts w:ascii="Verdana" w:hAnsi="Verdana"/>
          <w:b w:val="0"/>
          <w:sz w:val="22"/>
          <w:szCs w:val="22"/>
        </w:rPr>
      </w:pPr>
    </w:p>
    <w:p>
      <w:pPr>
        <w:pStyle w:val="BodyText"/>
        <w:numPr>
          <w:ilvl w:val="0"/>
          <w:numId w:val="14"/>
        </w:numPr>
        <w:jc w:val="left"/>
        <w:rPr>
          <w:rFonts w:ascii="Verdana" w:hAnsi="Verdana"/>
          <w:b w:val="0"/>
          <w:sz w:val="22"/>
          <w:szCs w:val="22"/>
        </w:rPr>
      </w:pPr>
      <w:r>
        <w:rPr>
          <w:rFonts w:ascii="Verdana" w:hAnsi="Verdana"/>
          <w:b w:val="0"/>
          <w:sz w:val="22"/>
          <w:szCs w:val="22"/>
        </w:rPr>
        <w:t xml:space="preserve">The piece of work will be awarded zero marks; </w:t>
      </w:r>
    </w:p>
    <w:p>
      <w:pPr>
        <w:pStyle w:val="BodyText"/>
        <w:numPr>
          <w:ilvl w:val="0"/>
          <w:numId w:val="14"/>
        </w:numPr>
        <w:jc w:val="left"/>
        <w:rPr>
          <w:rFonts w:ascii="Verdana" w:hAnsi="Verdana"/>
          <w:b w:val="0"/>
          <w:sz w:val="22"/>
          <w:szCs w:val="22"/>
        </w:rPr>
      </w:pPr>
      <w:r>
        <w:rPr>
          <w:rFonts w:ascii="Verdana" w:hAnsi="Verdana"/>
          <w:b w:val="0"/>
          <w:sz w:val="22"/>
          <w:szCs w:val="22"/>
        </w:rPr>
        <w:t xml:space="preserve">The student will be disqualified from that unit for the examination series in question; </w:t>
      </w:r>
    </w:p>
    <w:p>
      <w:pPr>
        <w:pStyle w:val="BodyText"/>
        <w:numPr>
          <w:ilvl w:val="0"/>
          <w:numId w:val="14"/>
        </w:numPr>
        <w:jc w:val="left"/>
        <w:rPr>
          <w:rFonts w:ascii="Verdana" w:hAnsi="Verdana"/>
          <w:b w:val="0"/>
          <w:sz w:val="22"/>
          <w:szCs w:val="22"/>
        </w:rPr>
      </w:pPr>
      <w:r>
        <w:rPr>
          <w:rFonts w:ascii="Verdana" w:hAnsi="Verdana"/>
          <w:b w:val="0"/>
          <w:sz w:val="22"/>
          <w:szCs w:val="22"/>
        </w:rPr>
        <w:t xml:space="preserve">The student will be disqualified from the whole subject for that examination series; </w:t>
      </w:r>
    </w:p>
    <w:p>
      <w:pPr>
        <w:pStyle w:val="BodyText"/>
        <w:numPr>
          <w:ilvl w:val="0"/>
          <w:numId w:val="14"/>
        </w:numPr>
        <w:jc w:val="left"/>
        <w:rPr>
          <w:rFonts w:ascii="Verdana" w:hAnsi="Verdana"/>
          <w:b w:val="0"/>
          <w:sz w:val="22"/>
          <w:szCs w:val="22"/>
        </w:rPr>
      </w:pPr>
      <w:r>
        <w:rPr>
          <w:rFonts w:ascii="Verdana" w:hAnsi="Verdana"/>
          <w:b w:val="0"/>
          <w:sz w:val="22"/>
          <w:szCs w:val="22"/>
        </w:rPr>
        <w:t xml:space="preserve">The student will be disqualified from all subjects and barred from entering again for a period of time. </w:t>
      </w:r>
    </w:p>
    <w:p>
      <w:pPr>
        <w:pStyle w:val="BodyText"/>
        <w:jc w:val="left"/>
        <w:rPr>
          <w:rFonts w:ascii="Verdana" w:hAnsi="Verdana"/>
          <w:b w:val="0"/>
          <w:sz w:val="22"/>
          <w:szCs w:val="22"/>
        </w:rPr>
      </w:pPr>
    </w:p>
    <w:p>
      <w:pPr>
        <w:pStyle w:val="BodyText"/>
        <w:jc w:val="left"/>
        <w:rPr>
          <w:rFonts w:ascii="Verdana" w:hAnsi="Verdana"/>
          <w:b w:val="0"/>
          <w:sz w:val="22"/>
          <w:szCs w:val="22"/>
        </w:rPr>
      </w:pPr>
      <w:r>
        <w:rPr>
          <w:rFonts w:ascii="Verdana" w:hAnsi="Verdana"/>
          <w:b w:val="0"/>
          <w:sz w:val="22"/>
          <w:szCs w:val="22"/>
        </w:rPr>
        <w:t xml:space="preserve">The relevant awarding body will decide which penalty is appropriate. </w:t>
      </w:r>
    </w:p>
    <w:p>
      <w:pPr>
        <w:pStyle w:val="BodyText"/>
        <w:jc w:val="left"/>
        <w:rPr>
          <w:rFonts w:ascii="Verdana" w:hAnsi="Verdana"/>
          <w:b w:val="0"/>
          <w:sz w:val="22"/>
          <w:szCs w:val="22"/>
        </w:rPr>
      </w:pPr>
    </w:p>
    <w:p>
      <w:pPr>
        <w:pStyle w:val="Heading2"/>
        <w:shd w:val="clear" w:color="auto" w:fill="E8EEF7"/>
      </w:pPr>
      <w:r>
        <w:t>12. Malpractice</w:t>
      </w:r>
    </w:p>
    <w:p>
      <w:pPr>
        <w:autoSpaceDE w:val="0"/>
        <w:autoSpaceDN w:val="0"/>
        <w:adjustRightInd w:val="0"/>
        <w:rPr>
          <w:rFonts w:ascii="Verdana" w:hAnsi="Verdana" w:cs="Arial"/>
          <w:sz w:val="22"/>
          <w:szCs w:val="22"/>
        </w:rPr>
      </w:pPr>
      <w:r>
        <w:rPr>
          <w:rFonts w:ascii="Verdana" w:hAnsi="Verdana" w:cs="Arial"/>
          <w:sz w:val="22"/>
          <w:szCs w:val="22"/>
        </w:rPr>
        <w:t xml:space="preserve">Malpractice is essentially any activity or practice which deliberately contravenes regulations and compromises the integrity of the internal or external assessment process and/or the validity of certificates. It covers any deliberate actions that compromises, or could compromise: </w:t>
      </w:r>
    </w:p>
    <w:p>
      <w:pPr>
        <w:autoSpaceDE w:val="0"/>
        <w:autoSpaceDN w:val="0"/>
        <w:adjustRightInd w:val="0"/>
        <w:ind w:left="432"/>
        <w:rPr>
          <w:rFonts w:ascii="Verdana" w:hAnsi="Verdana" w:cs="Arial"/>
          <w:sz w:val="22"/>
          <w:szCs w:val="22"/>
        </w:rPr>
      </w:pPr>
    </w:p>
    <w:p>
      <w:pPr>
        <w:numPr>
          <w:ilvl w:val="0"/>
          <w:numId w:val="16"/>
        </w:numPr>
        <w:autoSpaceDE w:val="0"/>
        <w:autoSpaceDN w:val="0"/>
        <w:adjustRightInd w:val="0"/>
        <w:spacing w:after="68"/>
        <w:rPr>
          <w:rFonts w:ascii="Verdana" w:hAnsi="Verdana" w:cs="Arial"/>
          <w:sz w:val="22"/>
          <w:szCs w:val="22"/>
        </w:rPr>
      </w:pPr>
      <w:r>
        <w:rPr>
          <w:rFonts w:ascii="Verdana" w:hAnsi="Verdana" w:cs="Arial"/>
          <w:sz w:val="22"/>
          <w:szCs w:val="22"/>
        </w:rPr>
        <w:t xml:space="preserve">The assessment process </w:t>
      </w:r>
    </w:p>
    <w:p>
      <w:pPr>
        <w:numPr>
          <w:ilvl w:val="0"/>
          <w:numId w:val="16"/>
        </w:numPr>
        <w:autoSpaceDE w:val="0"/>
        <w:autoSpaceDN w:val="0"/>
        <w:adjustRightInd w:val="0"/>
        <w:spacing w:after="68"/>
        <w:rPr>
          <w:rFonts w:ascii="Verdana" w:hAnsi="Verdana" w:cs="Arial"/>
          <w:sz w:val="22"/>
          <w:szCs w:val="22"/>
        </w:rPr>
      </w:pPr>
      <w:r>
        <w:rPr>
          <w:rFonts w:ascii="Verdana" w:hAnsi="Verdana" w:cs="Arial"/>
          <w:sz w:val="22"/>
          <w:szCs w:val="22"/>
        </w:rPr>
        <w:t xml:space="preserve">The integrity of a regulated qualification </w:t>
      </w:r>
    </w:p>
    <w:p>
      <w:pPr>
        <w:numPr>
          <w:ilvl w:val="0"/>
          <w:numId w:val="16"/>
        </w:numPr>
        <w:autoSpaceDE w:val="0"/>
        <w:autoSpaceDN w:val="0"/>
        <w:adjustRightInd w:val="0"/>
        <w:spacing w:after="68"/>
        <w:rPr>
          <w:rFonts w:ascii="Verdana" w:hAnsi="Verdana" w:cs="Arial"/>
          <w:sz w:val="22"/>
          <w:szCs w:val="22"/>
        </w:rPr>
      </w:pPr>
      <w:r>
        <w:rPr>
          <w:rFonts w:ascii="Verdana" w:hAnsi="Verdana" w:cs="Arial"/>
          <w:sz w:val="22"/>
          <w:szCs w:val="22"/>
        </w:rPr>
        <w:t xml:space="preserve">The validity of a result or certificate </w:t>
      </w:r>
    </w:p>
    <w:p>
      <w:pPr>
        <w:autoSpaceDE w:val="0"/>
        <w:autoSpaceDN w:val="0"/>
        <w:adjustRightInd w:val="0"/>
        <w:spacing w:after="68"/>
        <w:ind w:left="720"/>
        <w:rPr>
          <w:rFonts w:ascii="Verdana" w:hAnsi="Verdana" w:cs="Arial"/>
          <w:sz w:val="22"/>
          <w:szCs w:val="22"/>
        </w:rPr>
      </w:pPr>
    </w:p>
    <w:p>
      <w:pPr>
        <w:widowControl w:val="0"/>
        <w:numPr>
          <w:ilvl w:val="1"/>
          <w:numId w:val="25"/>
        </w:numPr>
        <w:tabs>
          <w:tab w:val="left" w:pos="820"/>
        </w:tabs>
        <w:suppressAutoHyphens w:val="0"/>
        <w:autoSpaceDE w:val="0"/>
        <w:autoSpaceDN w:val="0"/>
        <w:adjustRightInd w:val="0"/>
        <w:spacing w:after="200" w:line="276" w:lineRule="auto"/>
        <w:ind w:right="26"/>
        <w:rPr>
          <w:rFonts w:ascii="Calibri" w:hAnsi="Calibri" w:cs="Calibri"/>
          <w:color w:val="auto"/>
          <w:sz w:val="22"/>
          <w:szCs w:val="22"/>
          <w:lang w:val="en-US" w:eastAsia="en-US"/>
        </w:rPr>
      </w:pPr>
      <w:r>
        <w:rPr>
          <w:rFonts w:ascii="Verdana" w:hAnsi="Verdana" w:cs="Calibri"/>
          <w:bCs/>
          <w:color w:val="auto"/>
          <w:spacing w:val="1"/>
          <w:sz w:val="22"/>
          <w:szCs w:val="22"/>
          <w:u w:val="single"/>
          <w:lang w:val="en-US" w:eastAsia="en-US"/>
        </w:rPr>
        <w:t>M</w:t>
      </w:r>
      <w:r>
        <w:rPr>
          <w:rFonts w:ascii="Verdana" w:hAnsi="Verdana" w:cs="Calibri"/>
          <w:bCs/>
          <w:color w:val="auto"/>
          <w:spacing w:val="-3"/>
          <w:sz w:val="22"/>
          <w:szCs w:val="22"/>
          <w:u w:val="single"/>
          <w:lang w:val="en-US" w:eastAsia="en-US"/>
        </w:rPr>
        <w:t>a</w:t>
      </w:r>
      <w:r>
        <w:rPr>
          <w:rFonts w:ascii="Verdana" w:hAnsi="Verdana" w:cs="Calibri"/>
          <w:bCs/>
          <w:color w:val="auto"/>
          <w:spacing w:val="1"/>
          <w:sz w:val="22"/>
          <w:szCs w:val="22"/>
          <w:u w:val="single"/>
          <w:lang w:val="en-US" w:eastAsia="en-US"/>
        </w:rPr>
        <w:t>l</w:t>
      </w:r>
      <w:r>
        <w:rPr>
          <w:rFonts w:ascii="Verdana" w:hAnsi="Verdana" w:cs="Calibri"/>
          <w:bCs/>
          <w:color w:val="auto"/>
          <w:spacing w:val="-1"/>
          <w:sz w:val="22"/>
          <w:szCs w:val="22"/>
          <w:u w:val="single"/>
          <w:lang w:val="en-US" w:eastAsia="en-US"/>
        </w:rPr>
        <w:t>p</w:t>
      </w:r>
      <w:r>
        <w:rPr>
          <w:rFonts w:ascii="Verdana" w:hAnsi="Verdana" w:cs="Calibri"/>
          <w:bCs/>
          <w:color w:val="auto"/>
          <w:spacing w:val="1"/>
          <w:sz w:val="22"/>
          <w:szCs w:val="22"/>
          <w:u w:val="single"/>
          <w:lang w:val="en-US" w:eastAsia="en-US"/>
        </w:rPr>
        <w:t>r</w:t>
      </w:r>
      <w:r>
        <w:rPr>
          <w:rFonts w:ascii="Verdana" w:hAnsi="Verdana" w:cs="Calibri"/>
          <w:bCs/>
          <w:color w:val="auto"/>
          <w:sz w:val="22"/>
          <w:szCs w:val="22"/>
          <w:u w:val="single"/>
          <w:lang w:val="en-US" w:eastAsia="en-US"/>
        </w:rPr>
        <w:t>ac</w:t>
      </w:r>
      <w:r>
        <w:rPr>
          <w:rFonts w:ascii="Verdana" w:hAnsi="Verdana" w:cs="Calibri"/>
          <w:bCs/>
          <w:color w:val="auto"/>
          <w:spacing w:val="-3"/>
          <w:sz w:val="22"/>
          <w:szCs w:val="22"/>
          <w:u w:val="single"/>
          <w:lang w:val="en-US" w:eastAsia="en-US"/>
        </w:rPr>
        <w:t>t</w:t>
      </w:r>
      <w:r>
        <w:rPr>
          <w:rFonts w:ascii="Verdana" w:hAnsi="Verdana" w:cs="Calibri"/>
          <w:bCs/>
          <w:color w:val="auto"/>
          <w:spacing w:val="1"/>
          <w:sz w:val="22"/>
          <w:szCs w:val="22"/>
          <w:u w:val="single"/>
          <w:lang w:val="en-US" w:eastAsia="en-US"/>
        </w:rPr>
        <w:t>i</w:t>
      </w:r>
      <w:r>
        <w:rPr>
          <w:rFonts w:ascii="Verdana" w:hAnsi="Verdana" w:cs="Calibri"/>
          <w:bCs/>
          <w:color w:val="auto"/>
          <w:sz w:val="22"/>
          <w:szCs w:val="22"/>
          <w:u w:val="single"/>
          <w:lang w:val="en-US" w:eastAsia="en-US"/>
        </w:rPr>
        <w:t>ce</w:t>
      </w:r>
      <w:r>
        <w:rPr>
          <w:rFonts w:ascii="Verdana" w:hAnsi="Verdana" w:cs="Calibri"/>
          <w:bCs/>
          <w:color w:val="auto"/>
          <w:spacing w:val="-1"/>
          <w:sz w:val="22"/>
          <w:szCs w:val="22"/>
          <w:u w:val="single"/>
          <w:lang w:val="en-US" w:eastAsia="en-US"/>
        </w:rPr>
        <w:t xml:space="preserve"> </w:t>
      </w:r>
      <w:r>
        <w:rPr>
          <w:rFonts w:ascii="Verdana" w:hAnsi="Verdana" w:cs="Calibri"/>
          <w:bCs/>
          <w:color w:val="auto"/>
          <w:spacing w:val="3"/>
          <w:sz w:val="22"/>
          <w:szCs w:val="22"/>
          <w:u w:val="single"/>
          <w:lang w:val="en-US" w:eastAsia="en-US"/>
        </w:rPr>
        <w:t>b</w:t>
      </w:r>
      <w:r>
        <w:rPr>
          <w:rFonts w:ascii="Verdana" w:hAnsi="Verdana" w:cs="Calibri"/>
          <w:bCs/>
          <w:color w:val="auto"/>
          <w:sz w:val="22"/>
          <w:szCs w:val="22"/>
          <w:u w:val="single"/>
          <w:lang w:val="en-US" w:eastAsia="en-US"/>
        </w:rPr>
        <w:t>y</w:t>
      </w:r>
      <w:r>
        <w:rPr>
          <w:rFonts w:ascii="Verdana" w:hAnsi="Verdana" w:cs="Calibri"/>
          <w:bCs/>
          <w:color w:val="auto"/>
          <w:spacing w:val="-8"/>
          <w:sz w:val="22"/>
          <w:szCs w:val="22"/>
          <w:u w:val="single"/>
          <w:lang w:val="en-US" w:eastAsia="en-US"/>
        </w:rPr>
        <w:t xml:space="preserve"> </w:t>
      </w:r>
      <w:r>
        <w:rPr>
          <w:rFonts w:ascii="Verdana" w:hAnsi="Verdana" w:cs="Calibri"/>
          <w:bCs/>
          <w:color w:val="auto"/>
          <w:sz w:val="22"/>
          <w:szCs w:val="22"/>
          <w:u w:val="single"/>
          <w:lang w:val="en-US" w:eastAsia="en-US"/>
        </w:rPr>
        <w:t>st</w:t>
      </w:r>
      <w:r>
        <w:rPr>
          <w:rFonts w:ascii="Verdana" w:hAnsi="Verdana" w:cs="Calibri"/>
          <w:bCs/>
          <w:color w:val="auto"/>
          <w:spacing w:val="1"/>
          <w:sz w:val="22"/>
          <w:szCs w:val="22"/>
          <w:u w:val="single"/>
          <w:lang w:val="en-US" w:eastAsia="en-US"/>
        </w:rPr>
        <w:t>u</w:t>
      </w:r>
      <w:r>
        <w:rPr>
          <w:rFonts w:ascii="Verdana" w:hAnsi="Verdana" w:cs="Calibri"/>
          <w:bCs/>
          <w:color w:val="auto"/>
          <w:spacing w:val="-1"/>
          <w:sz w:val="22"/>
          <w:szCs w:val="22"/>
          <w:u w:val="single"/>
          <w:lang w:val="en-US" w:eastAsia="en-US"/>
        </w:rPr>
        <w:t>d</w:t>
      </w:r>
      <w:r>
        <w:rPr>
          <w:rFonts w:ascii="Verdana" w:hAnsi="Verdana" w:cs="Calibri"/>
          <w:bCs/>
          <w:color w:val="auto"/>
          <w:sz w:val="22"/>
          <w:szCs w:val="22"/>
          <w:u w:val="single"/>
          <w:lang w:val="en-US" w:eastAsia="en-US"/>
        </w:rPr>
        <w:t>e</w:t>
      </w:r>
      <w:r>
        <w:rPr>
          <w:rFonts w:ascii="Verdana" w:hAnsi="Verdana" w:cs="Calibri"/>
          <w:bCs/>
          <w:color w:val="auto"/>
          <w:spacing w:val="-1"/>
          <w:sz w:val="22"/>
          <w:szCs w:val="22"/>
          <w:u w:val="single"/>
          <w:lang w:val="en-US" w:eastAsia="en-US"/>
        </w:rPr>
        <w:t>n</w:t>
      </w:r>
      <w:r>
        <w:rPr>
          <w:rFonts w:ascii="Verdana" w:hAnsi="Verdana" w:cs="Calibri"/>
          <w:bCs/>
          <w:color w:val="auto"/>
          <w:sz w:val="22"/>
          <w:szCs w:val="22"/>
          <w:u w:val="single"/>
          <w:lang w:val="en-US" w:eastAsia="en-US"/>
        </w:rPr>
        <w:t>ts</w:t>
      </w:r>
    </w:p>
    <w:p>
      <w:pPr>
        <w:widowControl w:val="0"/>
        <w:tabs>
          <w:tab w:val="left" w:pos="851"/>
        </w:tabs>
        <w:suppressAutoHyphens w:val="0"/>
        <w:autoSpaceDE w:val="0"/>
        <w:autoSpaceDN w:val="0"/>
        <w:adjustRightInd w:val="0"/>
        <w:spacing w:after="200" w:line="276" w:lineRule="auto"/>
        <w:ind w:right="26"/>
        <w:rPr>
          <w:rFonts w:ascii="Verdana" w:hAnsi="Verdana" w:cs="Calibri"/>
          <w:color w:val="auto"/>
          <w:sz w:val="22"/>
          <w:szCs w:val="22"/>
          <w:lang w:val="en-US" w:eastAsia="en-US"/>
        </w:rPr>
      </w:pPr>
      <w:r>
        <w:rPr>
          <w:rFonts w:ascii="Verdana" w:hAnsi="Verdana" w:cs="Calibri"/>
          <w:color w:val="auto"/>
          <w:sz w:val="22"/>
          <w:szCs w:val="22"/>
          <w:lang w:val="en-US" w:eastAsia="en-US"/>
        </w:rPr>
        <w:t>So</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e</w:t>
      </w:r>
      <w:r>
        <w:rPr>
          <w:rFonts w:ascii="Verdana" w:hAnsi="Verdana" w:cs="Calibri"/>
          <w:color w:val="auto"/>
          <w:spacing w:val="1"/>
          <w:sz w:val="22"/>
          <w:szCs w:val="22"/>
          <w:lang w:val="en-US" w:eastAsia="en-US"/>
        </w:rPr>
        <w:t>x</w:t>
      </w:r>
      <w:r>
        <w:rPr>
          <w:rFonts w:ascii="Verdana" w:hAnsi="Verdana" w:cs="Calibri"/>
          <w:color w:val="auto"/>
          <w:sz w:val="22"/>
          <w:szCs w:val="22"/>
          <w:lang w:val="en-US" w:eastAsia="en-US"/>
        </w:rPr>
        <w:t>a</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p</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es of</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tu</w:t>
      </w:r>
      <w:r>
        <w:rPr>
          <w:rFonts w:ascii="Verdana" w:hAnsi="Verdana" w:cs="Calibri"/>
          <w:color w:val="auto"/>
          <w:spacing w:val="-1"/>
          <w:sz w:val="22"/>
          <w:szCs w:val="22"/>
          <w:lang w:val="en-US" w:eastAsia="en-US"/>
        </w:rPr>
        <w:t>d</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 xml:space="preserve"> </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pra</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e</w:t>
      </w:r>
      <w:r>
        <w:rPr>
          <w:rFonts w:ascii="Verdana" w:hAnsi="Verdana" w:cs="Calibri"/>
          <w:color w:val="auto"/>
          <w:spacing w:val="-2"/>
          <w:sz w:val="22"/>
          <w:szCs w:val="22"/>
          <w:lang w:val="en-US" w:eastAsia="en-US"/>
        </w:rPr>
        <w:t xml:space="preserve"> </w:t>
      </w:r>
      <w:r>
        <w:rPr>
          <w:rFonts w:ascii="Verdana" w:hAnsi="Verdana" w:cs="Calibri"/>
          <w:color w:val="auto"/>
          <w:spacing w:val="-1"/>
          <w:sz w:val="22"/>
          <w:szCs w:val="22"/>
          <w:lang w:val="en-US" w:eastAsia="en-US"/>
        </w:rPr>
        <w:t>a</w:t>
      </w:r>
      <w:r>
        <w:rPr>
          <w:rFonts w:ascii="Verdana" w:hAnsi="Verdana" w:cs="Calibri"/>
          <w:color w:val="auto"/>
          <w:spacing w:val="1"/>
          <w:sz w:val="22"/>
          <w:szCs w:val="22"/>
          <w:lang w:val="en-US" w:eastAsia="en-US"/>
        </w:rPr>
        <w:t>r</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d</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scr</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b</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b</w:t>
      </w:r>
      <w:r>
        <w:rPr>
          <w:rFonts w:ascii="Verdana" w:hAnsi="Verdana" w:cs="Calibri"/>
          <w:color w:val="auto"/>
          <w:spacing w:val="-1"/>
          <w:sz w:val="22"/>
          <w:szCs w:val="22"/>
          <w:lang w:val="en-US" w:eastAsia="en-US"/>
        </w:rPr>
        <w:t>e</w:t>
      </w:r>
      <w:r>
        <w:rPr>
          <w:rFonts w:ascii="Verdana" w:hAnsi="Verdana" w:cs="Calibri"/>
          <w:color w:val="auto"/>
          <w:spacing w:val="1"/>
          <w:sz w:val="22"/>
          <w:szCs w:val="22"/>
          <w:lang w:val="en-US" w:eastAsia="en-US"/>
        </w:rPr>
        <w:t>l</w:t>
      </w:r>
      <w:r>
        <w:rPr>
          <w:rFonts w:ascii="Verdana" w:hAnsi="Verdana" w:cs="Calibri"/>
          <w:color w:val="auto"/>
          <w:spacing w:val="2"/>
          <w:sz w:val="22"/>
          <w:szCs w:val="22"/>
          <w:lang w:val="en-US" w:eastAsia="en-US"/>
        </w:rPr>
        <w:t>o</w:t>
      </w:r>
      <w:r>
        <w:rPr>
          <w:rFonts w:ascii="Verdana" w:hAnsi="Verdana" w:cs="Calibri"/>
          <w:color w:val="auto"/>
          <w:spacing w:val="-2"/>
          <w:sz w:val="22"/>
          <w:szCs w:val="22"/>
          <w:lang w:val="en-US" w:eastAsia="en-US"/>
        </w:rPr>
        <w:t>w</w:t>
      </w:r>
      <w:r>
        <w:rPr>
          <w:rFonts w:ascii="Verdana" w:hAnsi="Verdana" w:cs="Calibri"/>
          <w:color w:val="auto"/>
          <w:sz w:val="22"/>
          <w:szCs w:val="22"/>
          <w:lang w:val="en-US" w:eastAsia="en-US"/>
        </w:rPr>
        <w:t>.</w:t>
      </w:r>
      <w:r>
        <w:rPr>
          <w:rFonts w:ascii="Verdana" w:hAnsi="Verdana" w:cs="Calibri"/>
          <w:color w:val="auto"/>
          <w:spacing w:val="-1"/>
          <w:sz w:val="22"/>
          <w:szCs w:val="22"/>
          <w:lang w:val="en-US" w:eastAsia="en-US"/>
        </w:rPr>
        <w:t xml:space="preserve"> </w:t>
      </w:r>
      <w:r>
        <w:rPr>
          <w:rFonts w:ascii="Verdana" w:hAnsi="Verdana" w:cs="Calibri"/>
          <w:color w:val="auto"/>
          <w:spacing w:val="3"/>
          <w:sz w:val="22"/>
          <w:szCs w:val="22"/>
          <w:lang w:val="en-US" w:eastAsia="en-US"/>
        </w:rPr>
        <w:t>T</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e</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e</w:t>
      </w:r>
      <w:r>
        <w:rPr>
          <w:rFonts w:ascii="Verdana" w:hAnsi="Verdana" w:cs="Calibri"/>
          <w:color w:val="auto"/>
          <w:spacing w:val="1"/>
          <w:sz w:val="22"/>
          <w:szCs w:val="22"/>
          <w:lang w:val="en-US" w:eastAsia="en-US"/>
        </w:rPr>
        <w:t>x</w:t>
      </w:r>
      <w:r>
        <w:rPr>
          <w:rFonts w:ascii="Verdana" w:hAnsi="Verdana" w:cs="Calibri"/>
          <w:color w:val="auto"/>
          <w:sz w:val="22"/>
          <w:szCs w:val="22"/>
          <w:lang w:val="en-US" w:eastAsia="en-US"/>
        </w:rPr>
        <w:t>a</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p</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es are</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o</w:t>
      </w:r>
      <w:r>
        <w:rPr>
          <w:rFonts w:ascii="Verdana" w:hAnsi="Verdana" w:cs="Calibri"/>
          <w:color w:val="auto"/>
          <w:sz w:val="22"/>
          <w:szCs w:val="22"/>
          <w:lang w:val="en-US" w:eastAsia="en-US"/>
        </w:rPr>
        <w:t>t e</w:t>
      </w:r>
      <w:r>
        <w:rPr>
          <w:rFonts w:ascii="Verdana" w:hAnsi="Verdana" w:cs="Calibri"/>
          <w:color w:val="auto"/>
          <w:spacing w:val="1"/>
          <w:sz w:val="22"/>
          <w:szCs w:val="22"/>
          <w:lang w:val="en-US" w:eastAsia="en-US"/>
        </w:rPr>
        <w:t>x</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a</w:t>
      </w:r>
      <w:r>
        <w:rPr>
          <w:rFonts w:ascii="Verdana" w:hAnsi="Verdana" w:cs="Calibri"/>
          <w:color w:val="auto"/>
          <w:sz w:val="22"/>
          <w:szCs w:val="22"/>
          <w:lang w:val="en-US" w:eastAsia="en-US"/>
        </w:rPr>
        <w:t>u</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v</w:t>
      </w:r>
      <w:r>
        <w:rPr>
          <w:rFonts w:ascii="Verdana" w:hAnsi="Verdana" w:cs="Calibri"/>
          <w:color w:val="auto"/>
          <w:sz w:val="22"/>
          <w:szCs w:val="22"/>
          <w:lang w:val="en-US" w:eastAsia="en-US"/>
        </w:rPr>
        <w:t>e</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 xml:space="preserve">l </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ci</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e</w:t>
      </w:r>
      <w:r>
        <w:rPr>
          <w:rFonts w:ascii="Verdana" w:hAnsi="Verdana" w:cs="Calibri"/>
          <w:color w:val="auto"/>
          <w:spacing w:val="2"/>
          <w:sz w:val="22"/>
          <w:szCs w:val="22"/>
          <w:lang w:val="en-US" w:eastAsia="en-US"/>
        </w:rPr>
        <w:t>n</w:t>
      </w:r>
      <w:r>
        <w:rPr>
          <w:rFonts w:ascii="Verdana" w:hAnsi="Verdana" w:cs="Calibri"/>
          <w:color w:val="auto"/>
          <w:sz w:val="22"/>
          <w:szCs w:val="22"/>
          <w:lang w:val="en-US" w:eastAsia="en-US"/>
        </w:rPr>
        <w:t>ts</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of</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u</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p</w:t>
      </w:r>
      <w:r>
        <w:rPr>
          <w:rFonts w:ascii="Verdana" w:hAnsi="Verdana" w:cs="Calibri"/>
          <w:color w:val="auto"/>
          <w:spacing w:val="-1"/>
          <w:sz w:val="22"/>
          <w:szCs w:val="22"/>
          <w:lang w:val="en-US" w:eastAsia="en-US"/>
        </w:rPr>
        <w:t>e</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ted</w:t>
      </w:r>
      <w:r>
        <w:rPr>
          <w:rFonts w:ascii="Verdana" w:hAnsi="Verdana" w:cs="Calibri"/>
          <w:color w:val="auto"/>
          <w:spacing w:val="-2"/>
          <w:sz w:val="22"/>
          <w:szCs w:val="22"/>
          <w:lang w:val="en-US" w:eastAsia="en-US"/>
        </w:rPr>
        <w:t xml:space="preserve"> </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pra</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whe</w:t>
      </w:r>
      <w:r>
        <w:rPr>
          <w:rFonts w:ascii="Verdana" w:hAnsi="Verdana" w:cs="Calibri"/>
          <w:color w:val="auto"/>
          <w:spacing w:val="-1"/>
          <w:sz w:val="22"/>
          <w:szCs w:val="22"/>
          <w:lang w:val="en-US" w:eastAsia="en-US"/>
        </w:rPr>
        <w:t>t</w:t>
      </w:r>
      <w:r>
        <w:rPr>
          <w:rFonts w:ascii="Verdana" w:hAnsi="Verdana" w:cs="Calibri"/>
          <w:color w:val="auto"/>
          <w:spacing w:val="2"/>
          <w:sz w:val="22"/>
          <w:szCs w:val="22"/>
          <w:lang w:val="en-US" w:eastAsia="en-US"/>
        </w:rPr>
        <w:t>h</w:t>
      </w:r>
      <w:r>
        <w:rPr>
          <w:rFonts w:ascii="Verdana" w:hAnsi="Verdana" w:cs="Calibri"/>
          <w:color w:val="auto"/>
          <w:sz w:val="22"/>
          <w:szCs w:val="22"/>
          <w:lang w:val="en-US" w:eastAsia="en-US"/>
        </w:rPr>
        <w:t>er</w:t>
      </w:r>
      <w:r>
        <w:rPr>
          <w:rFonts w:ascii="Verdana" w:hAnsi="Verdana" w:cs="Calibri"/>
          <w:color w:val="auto"/>
          <w:spacing w:val="-4"/>
          <w:sz w:val="22"/>
          <w:szCs w:val="22"/>
          <w:lang w:val="en-US" w:eastAsia="en-US"/>
        </w:rPr>
        <w:t xml:space="preserve"> </w:t>
      </w:r>
      <w:r>
        <w:rPr>
          <w:rFonts w:ascii="Verdana" w:hAnsi="Verdana" w:cs="Calibri"/>
          <w:color w:val="auto"/>
          <w:sz w:val="22"/>
          <w:szCs w:val="22"/>
          <w:lang w:val="en-US" w:eastAsia="en-US"/>
        </w:rPr>
        <w:t>or</w:t>
      </w:r>
      <w:r>
        <w:rPr>
          <w:rFonts w:ascii="Verdana" w:hAnsi="Verdana" w:cs="Calibri"/>
          <w:color w:val="auto"/>
          <w:spacing w:val="-1"/>
          <w:sz w:val="22"/>
          <w:szCs w:val="22"/>
          <w:lang w:val="en-US" w:eastAsia="en-US"/>
        </w:rPr>
        <w:t xml:space="preserve"> </w:t>
      </w:r>
      <w:r>
        <w:rPr>
          <w:rFonts w:ascii="Verdana" w:hAnsi="Verdana" w:cs="Calibri"/>
          <w:color w:val="auto"/>
          <w:spacing w:val="2"/>
          <w:sz w:val="22"/>
          <w:szCs w:val="22"/>
          <w:lang w:val="en-US" w:eastAsia="en-US"/>
        </w:rPr>
        <w:t>n</w:t>
      </w:r>
      <w:r>
        <w:rPr>
          <w:rFonts w:ascii="Verdana" w:hAnsi="Verdana" w:cs="Calibri"/>
          <w:color w:val="auto"/>
          <w:sz w:val="22"/>
          <w:szCs w:val="22"/>
          <w:lang w:val="en-US" w:eastAsia="en-US"/>
        </w:rPr>
        <w:t>ot</w:t>
      </w:r>
      <w:r>
        <w:rPr>
          <w:rFonts w:ascii="Verdana" w:hAnsi="Verdana" w:cs="Calibri"/>
          <w:color w:val="auto"/>
          <w:spacing w:val="-2"/>
          <w:sz w:val="22"/>
          <w:szCs w:val="22"/>
          <w:lang w:val="en-US" w:eastAsia="en-US"/>
        </w:rPr>
        <w:t xml:space="preserve"> </w:t>
      </w:r>
      <w:r>
        <w:rPr>
          <w:rFonts w:ascii="Verdana" w:hAnsi="Verdana" w:cs="Calibri"/>
          <w:color w:val="auto"/>
          <w:spacing w:val="2"/>
          <w:sz w:val="22"/>
          <w:szCs w:val="22"/>
          <w:lang w:val="en-US" w:eastAsia="en-US"/>
        </w:rPr>
        <w:t>d</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scr</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b</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 xml:space="preserve"> </w:t>
      </w:r>
      <w:r>
        <w:rPr>
          <w:rFonts w:ascii="Verdana" w:hAnsi="Verdana" w:cs="Calibri"/>
          <w:color w:val="auto"/>
          <w:spacing w:val="2"/>
          <w:sz w:val="22"/>
          <w:szCs w:val="22"/>
          <w:lang w:val="en-US" w:eastAsia="en-US"/>
        </w:rPr>
        <w:t>b</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l</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w,</w:t>
      </w:r>
      <w:r>
        <w:rPr>
          <w:rFonts w:ascii="Verdana" w:hAnsi="Verdana" w:cs="Calibri"/>
          <w:color w:val="auto"/>
          <w:spacing w:val="1"/>
          <w:sz w:val="22"/>
          <w:szCs w:val="22"/>
          <w:lang w:val="en-US" w:eastAsia="en-US"/>
        </w:rPr>
        <w:t xml:space="preserve"> </w:t>
      </w:r>
      <w:r>
        <w:rPr>
          <w:rFonts w:ascii="Verdana" w:hAnsi="Verdana" w:cs="Calibri"/>
          <w:color w:val="auto"/>
          <w:spacing w:val="-2"/>
          <w:sz w:val="22"/>
          <w:szCs w:val="22"/>
          <w:lang w:val="en-US" w:eastAsia="en-US"/>
        </w:rPr>
        <w:t>w</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l be</w:t>
      </w:r>
      <w:r>
        <w:rPr>
          <w:rFonts w:ascii="Verdana" w:hAnsi="Verdana" w:cs="Calibri"/>
          <w:color w:val="auto"/>
          <w:spacing w:val="-1"/>
          <w:sz w:val="22"/>
          <w:szCs w:val="22"/>
          <w:lang w:val="en-US" w:eastAsia="en-US"/>
        </w:rPr>
        <w:t xml:space="preserve"> </w:t>
      </w:r>
      <w:r>
        <w:rPr>
          <w:rFonts w:ascii="Verdana" w:hAnsi="Verdana" w:cs="Calibri"/>
          <w:color w:val="auto"/>
          <w:spacing w:val="2"/>
          <w:sz w:val="22"/>
          <w:szCs w:val="22"/>
          <w:lang w:val="en-US" w:eastAsia="en-US"/>
        </w:rPr>
        <w:t>f</w:t>
      </w:r>
      <w:r>
        <w:rPr>
          <w:rFonts w:ascii="Verdana" w:hAnsi="Verdana" w:cs="Calibri"/>
          <w:color w:val="auto"/>
          <w:sz w:val="22"/>
          <w:szCs w:val="22"/>
          <w:lang w:val="en-US" w:eastAsia="en-US"/>
        </w:rPr>
        <w:t>u</w:t>
      </w:r>
      <w:r>
        <w:rPr>
          <w:rFonts w:ascii="Verdana" w:hAnsi="Verdana" w:cs="Calibri"/>
          <w:color w:val="auto"/>
          <w:spacing w:val="-1"/>
          <w:sz w:val="22"/>
          <w:szCs w:val="22"/>
          <w:lang w:val="en-US" w:eastAsia="en-US"/>
        </w:rPr>
        <w:t>l</w:t>
      </w:r>
      <w:r>
        <w:rPr>
          <w:rFonts w:ascii="Verdana" w:hAnsi="Verdana" w:cs="Calibri"/>
          <w:color w:val="auto"/>
          <w:spacing w:val="4"/>
          <w:sz w:val="22"/>
          <w:szCs w:val="22"/>
          <w:lang w:val="en-US" w:eastAsia="en-US"/>
        </w:rPr>
        <w:t>l</w:t>
      </w:r>
      <w:r>
        <w:rPr>
          <w:rFonts w:ascii="Verdana" w:hAnsi="Verdana" w:cs="Calibri"/>
          <w:color w:val="auto"/>
          <w:sz w:val="22"/>
          <w:szCs w:val="22"/>
          <w:lang w:val="en-US" w:eastAsia="en-US"/>
        </w:rPr>
        <w:t>y</w:t>
      </w:r>
      <w:r>
        <w:rPr>
          <w:rFonts w:ascii="Verdana" w:hAnsi="Verdana" w:cs="Calibri"/>
          <w:color w:val="auto"/>
          <w:spacing w:val="-3"/>
          <w:sz w:val="22"/>
          <w:szCs w:val="22"/>
          <w:lang w:val="en-US" w:eastAsia="en-US"/>
        </w:rPr>
        <w:t xml:space="preserve"> </w:t>
      </w:r>
      <w:r>
        <w:rPr>
          <w:rFonts w:ascii="Verdana" w:hAnsi="Verdana" w:cs="Calibri"/>
          <w:color w:val="auto"/>
          <w:spacing w:val="-1"/>
          <w:sz w:val="22"/>
          <w:szCs w:val="22"/>
          <w:lang w:val="en-US" w:eastAsia="en-US"/>
        </w:rPr>
        <w:t>i</w:t>
      </w:r>
      <w:r>
        <w:rPr>
          <w:rFonts w:ascii="Verdana" w:hAnsi="Verdana" w:cs="Calibri"/>
          <w:color w:val="auto"/>
          <w:spacing w:val="2"/>
          <w:sz w:val="22"/>
          <w:szCs w:val="22"/>
          <w:lang w:val="en-US" w:eastAsia="en-US"/>
        </w:rPr>
        <w:t>n</w:t>
      </w:r>
      <w:r>
        <w:rPr>
          <w:rFonts w:ascii="Verdana" w:hAnsi="Verdana" w:cs="Calibri"/>
          <w:color w:val="auto"/>
          <w:spacing w:val="-1"/>
          <w:sz w:val="22"/>
          <w:szCs w:val="22"/>
          <w:lang w:val="en-US" w:eastAsia="en-US"/>
        </w:rPr>
        <w:t>v</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g</w:t>
      </w:r>
      <w:r>
        <w:rPr>
          <w:rFonts w:ascii="Verdana" w:hAnsi="Verdana" w:cs="Calibri"/>
          <w:color w:val="auto"/>
          <w:spacing w:val="-1"/>
          <w:sz w:val="22"/>
          <w:szCs w:val="22"/>
          <w:lang w:val="en-US" w:eastAsia="en-US"/>
        </w:rPr>
        <w:t>a</w:t>
      </w:r>
      <w:r>
        <w:rPr>
          <w:rFonts w:ascii="Verdana" w:hAnsi="Verdana" w:cs="Calibri"/>
          <w:color w:val="auto"/>
          <w:spacing w:val="2"/>
          <w:sz w:val="22"/>
          <w:szCs w:val="22"/>
          <w:lang w:val="en-US" w:eastAsia="en-US"/>
        </w:rPr>
        <w:t>t</w:t>
      </w:r>
      <w:r>
        <w:rPr>
          <w:rFonts w:ascii="Verdana" w:hAnsi="Verdana" w:cs="Calibri"/>
          <w:color w:val="auto"/>
          <w:sz w:val="22"/>
          <w:szCs w:val="22"/>
          <w:lang w:val="en-US" w:eastAsia="en-US"/>
        </w:rPr>
        <w:t xml:space="preserve">ed, </w:t>
      </w:r>
      <w:r>
        <w:rPr>
          <w:rFonts w:ascii="Verdana" w:hAnsi="Verdana" w:cs="Calibri"/>
          <w:color w:val="auto"/>
          <w:spacing w:val="-2"/>
          <w:sz w:val="22"/>
          <w:szCs w:val="22"/>
          <w:lang w:val="en-US" w:eastAsia="en-US"/>
        </w:rPr>
        <w:t>w</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e</w:t>
      </w:r>
      <w:r>
        <w:rPr>
          <w:rFonts w:ascii="Verdana" w:hAnsi="Verdana" w:cs="Calibri"/>
          <w:color w:val="auto"/>
          <w:spacing w:val="3"/>
          <w:sz w:val="22"/>
          <w:szCs w:val="22"/>
          <w:lang w:val="en-US" w:eastAsia="en-US"/>
        </w:rPr>
        <w:t>r</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t</w:t>
      </w:r>
      <w:r>
        <w:rPr>
          <w:rFonts w:ascii="Verdana" w:hAnsi="Verdana" w:cs="Calibri"/>
          <w:color w:val="auto"/>
          <w:spacing w:val="2"/>
          <w:sz w:val="22"/>
          <w:szCs w:val="22"/>
          <w:lang w:val="en-US" w:eastAsia="en-US"/>
        </w:rPr>
        <w:t>h</w:t>
      </w:r>
      <w:r>
        <w:rPr>
          <w:rFonts w:ascii="Verdana" w:hAnsi="Verdana" w:cs="Calibri"/>
          <w:color w:val="auto"/>
          <w:sz w:val="22"/>
          <w:szCs w:val="22"/>
          <w:lang w:val="en-US" w:eastAsia="en-US"/>
        </w:rPr>
        <w:t>ere</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are</w:t>
      </w:r>
      <w:r>
        <w:rPr>
          <w:rFonts w:ascii="Verdana" w:hAnsi="Verdana" w:cs="Calibri"/>
          <w:color w:val="auto"/>
          <w:spacing w:val="-3"/>
          <w:sz w:val="22"/>
          <w:szCs w:val="22"/>
          <w:lang w:val="en-US" w:eastAsia="en-US"/>
        </w:rPr>
        <w:t xml:space="preserve"> </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u</w:t>
      </w:r>
      <w:r>
        <w:rPr>
          <w:rFonts w:ascii="Verdana" w:hAnsi="Verdana" w:cs="Calibri"/>
          <w:color w:val="auto"/>
          <w:spacing w:val="2"/>
          <w:sz w:val="22"/>
          <w:szCs w:val="22"/>
          <w:lang w:val="en-US" w:eastAsia="en-US"/>
        </w:rPr>
        <w:t>ff</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c</w:t>
      </w:r>
      <w:r>
        <w:rPr>
          <w:rFonts w:ascii="Verdana" w:hAnsi="Verdana" w:cs="Calibri"/>
          <w:color w:val="auto"/>
          <w:spacing w:val="-1"/>
          <w:sz w:val="22"/>
          <w:szCs w:val="22"/>
          <w:lang w:val="en-US" w:eastAsia="en-US"/>
        </w:rPr>
        <w:t>i</w:t>
      </w:r>
      <w:r>
        <w:rPr>
          <w:rFonts w:ascii="Verdana" w:hAnsi="Verdana" w:cs="Calibri"/>
          <w:color w:val="auto"/>
          <w:spacing w:val="2"/>
          <w:sz w:val="22"/>
          <w:szCs w:val="22"/>
          <w:lang w:val="en-US" w:eastAsia="en-US"/>
        </w:rPr>
        <w:t>e</w:t>
      </w:r>
      <w:r>
        <w:rPr>
          <w:rFonts w:ascii="Verdana" w:hAnsi="Verdana" w:cs="Calibri"/>
          <w:color w:val="auto"/>
          <w:sz w:val="22"/>
          <w:szCs w:val="22"/>
          <w:lang w:val="en-US" w:eastAsia="en-US"/>
        </w:rPr>
        <w:t>nt</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gro</w:t>
      </w:r>
      <w:r>
        <w:rPr>
          <w:rFonts w:ascii="Verdana" w:hAnsi="Verdana" w:cs="Calibri"/>
          <w:color w:val="auto"/>
          <w:spacing w:val="2"/>
          <w:sz w:val="22"/>
          <w:szCs w:val="22"/>
          <w:lang w:val="en-US" w:eastAsia="en-US"/>
        </w:rPr>
        <w:t>u</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d</w:t>
      </w:r>
      <w:r>
        <w:rPr>
          <w:rFonts w:ascii="Verdana" w:hAnsi="Verdana" w:cs="Calibri"/>
          <w:color w:val="auto"/>
          <w:sz w:val="22"/>
          <w:szCs w:val="22"/>
          <w:lang w:val="en-US" w:eastAsia="en-US"/>
        </w:rPr>
        <w:t>s</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to</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do</w:t>
      </w:r>
      <w:r>
        <w:rPr>
          <w:rFonts w:ascii="Verdana" w:hAnsi="Verdana" w:cs="Calibri"/>
          <w:color w:val="auto"/>
          <w:spacing w:val="-3"/>
          <w:sz w:val="22"/>
          <w:szCs w:val="22"/>
          <w:lang w:val="en-US" w:eastAsia="en-US"/>
        </w:rPr>
        <w:t xml:space="preserve"> </w:t>
      </w:r>
      <w:r>
        <w:rPr>
          <w:rFonts w:ascii="Verdana" w:hAnsi="Verdana" w:cs="Calibri"/>
          <w:color w:val="auto"/>
          <w:spacing w:val="3"/>
          <w:sz w:val="22"/>
          <w:szCs w:val="22"/>
          <w:lang w:val="en-US" w:eastAsia="en-US"/>
        </w:rPr>
        <w:t>so</w:t>
      </w:r>
      <w:r>
        <w:rPr>
          <w:rFonts w:ascii="Verdana" w:hAnsi="Verdana" w:cs="Calibri"/>
          <w:color w:val="auto"/>
          <w:sz w:val="22"/>
          <w:szCs w:val="22"/>
          <w:lang w:val="en-US" w:eastAsia="en-US"/>
        </w:rPr>
        <w:t>.</w:t>
      </w:r>
    </w:p>
    <w:p>
      <w:pPr>
        <w:widowControl w:val="0"/>
        <w:numPr>
          <w:ilvl w:val="0"/>
          <w:numId w:val="26"/>
        </w:numPr>
        <w:tabs>
          <w:tab w:val="left" w:pos="851"/>
        </w:tabs>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z w:val="22"/>
          <w:szCs w:val="22"/>
          <w:lang w:val="en-US" w:eastAsia="en-US"/>
        </w:rPr>
        <w:t>Obtaining examination or assessment material without  authorisation</w:t>
      </w:r>
    </w:p>
    <w:p>
      <w:pPr>
        <w:widowControl w:val="0"/>
        <w:numPr>
          <w:ilvl w:val="0"/>
          <w:numId w:val="26"/>
        </w:numPr>
        <w:tabs>
          <w:tab w:val="left" w:pos="851"/>
        </w:tabs>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z w:val="22"/>
          <w:szCs w:val="22"/>
          <w:lang w:val="en-US" w:eastAsia="en-US"/>
        </w:rPr>
        <w:t>Impersonating another student to sit an assessment or to submit an assignment on their behalf.</w:t>
      </w:r>
    </w:p>
    <w:p>
      <w:pPr>
        <w:widowControl w:val="0"/>
        <w:numPr>
          <w:ilvl w:val="0"/>
          <w:numId w:val="26"/>
        </w:numPr>
        <w:tabs>
          <w:tab w:val="left" w:pos="851"/>
        </w:tabs>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z w:val="22"/>
          <w:szCs w:val="22"/>
          <w:lang w:val="en-US" w:eastAsia="en-US"/>
        </w:rPr>
        <w:t>Co</w:t>
      </w:r>
      <w:r>
        <w:rPr>
          <w:rFonts w:ascii="Verdana" w:hAnsi="Verdana" w:cs="Calibri"/>
          <w:color w:val="auto"/>
          <w:spacing w:val="1"/>
          <w:sz w:val="22"/>
          <w:szCs w:val="22"/>
          <w:lang w:val="en-US" w:eastAsia="en-US"/>
        </w:rPr>
        <w:t>l</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b</w:t>
      </w:r>
      <w:r>
        <w:rPr>
          <w:rFonts w:ascii="Verdana" w:hAnsi="Verdana" w:cs="Calibri"/>
          <w:color w:val="auto"/>
          <w:sz w:val="22"/>
          <w:szCs w:val="22"/>
          <w:lang w:val="en-US" w:eastAsia="en-US"/>
        </w:rPr>
        <w:t>orat</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ng</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w</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th</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ot</w:t>
      </w:r>
      <w:r>
        <w:rPr>
          <w:rFonts w:ascii="Verdana" w:hAnsi="Verdana" w:cs="Calibri"/>
          <w:color w:val="auto"/>
          <w:spacing w:val="1"/>
          <w:sz w:val="22"/>
          <w:szCs w:val="22"/>
          <w:lang w:val="en-US" w:eastAsia="en-US"/>
        </w:rPr>
        <w:t>h</w:t>
      </w:r>
      <w:r>
        <w:rPr>
          <w:rFonts w:ascii="Verdana" w:hAnsi="Verdana" w:cs="Calibri"/>
          <w:color w:val="auto"/>
          <w:sz w:val="22"/>
          <w:szCs w:val="22"/>
          <w:lang w:val="en-US" w:eastAsia="en-US"/>
        </w:rPr>
        <w:t>er</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tu</w:t>
      </w:r>
      <w:r>
        <w:rPr>
          <w:rFonts w:ascii="Verdana" w:hAnsi="Verdana" w:cs="Calibri"/>
          <w:color w:val="auto"/>
          <w:spacing w:val="-1"/>
          <w:sz w:val="22"/>
          <w:szCs w:val="22"/>
          <w:lang w:val="en-US" w:eastAsia="en-US"/>
        </w:rPr>
        <w:t>d</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or</w:t>
      </w:r>
      <w:r>
        <w:rPr>
          <w:rFonts w:ascii="Verdana" w:hAnsi="Verdana" w:cs="Calibri"/>
          <w:color w:val="auto"/>
          <w:spacing w:val="-2"/>
          <w:sz w:val="22"/>
          <w:szCs w:val="22"/>
          <w:lang w:val="en-US" w:eastAsia="en-US"/>
        </w:rPr>
        <w:t xml:space="preserve"> </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d</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v</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u</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w:t>
      </w:r>
      <w:r>
        <w:rPr>
          <w:rFonts w:ascii="Verdana" w:hAnsi="Verdana" w:cs="Calibri"/>
          <w:color w:val="auto"/>
          <w:spacing w:val="2"/>
          <w:sz w:val="22"/>
          <w:szCs w:val="22"/>
          <w:lang w:val="en-US" w:eastAsia="en-US"/>
        </w:rPr>
        <w:t xml:space="preserve"> </w:t>
      </w:r>
      <w:r>
        <w:rPr>
          <w:rFonts w:ascii="Verdana" w:hAnsi="Verdana" w:cs="Calibri"/>
          <w:color w:val="auto"/>
          <w:spacing w:val="4"/>
          <w:sz w:val="22"/>
          <w:szCs w:val="22"/>
          <w:lang w:val="en-US" w:eastAsia="en-US"/>
        </w:rPr>
        <w:t>b</w:t>
      </w:r>
      <w:r>
        <w:rPr>
          <w:rFonts w:ascii="Verdana" w:hAnsi="Verdana" w:cs="Calibri"/>
          <w:color w:val="auto"/>
          <w:sz w:val="22"/>
          <w:szCs w:val="22"/>
          <w:lang w:val="en-US" w:eastAsia="en-US"/>
        </w:rPr>
        <w:t>y</w:t>
      </w:r>
      <w:r>
        <w:rPr>
          <w:rFonts w:ascii="Verdana" w:hAnsi="Verdana" w:cs="Calibri"/>
          <w:color w:val="auto"/>
          <w:spacing w:val="-5"/>
          <w:sz w:val="22"/>
          <w:szCs w:val="22"/>
          <w:lang w:val="en-US" w:eastAsia="en-US"/>
        </w:rPr>
        <w:t xml:space="preserve"> </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y</w:t>
      </w:r>
      <w:r>
        <w:rPr>
          <w:rFonts w:ascii="Verdana" w:hAnsi="Verdana" w:cs="Calibri"/>
          <w:color w:val="auto"/>
          <w:spacing w:val="-5"/>
          <w:sz w:val="22"/>
          <w:szCs w:val="22"/>
          <w:lang w:val="en-US" w:eastAsia="en-US"/>
        </w:rPr>
        <w:t xml:space="preserve"> </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a</w:t>
      </w:r>
      <w:r>
        <w:rPr>
          <w:rFonts w:ascii="Verdana" w:hAnsi="Verdana" w:cs="Calibri"/>
          <w:color w:val="auto"/>
          <w:spacing w:val="4"/>
          <w:sz w:val="22"/>
          <w:szCs w:val="22"/>
          <w:lang w:val="en-US" w:eastAsia="en-US"/>
        </w:rPr>
        <w:t>n</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w:t>
      </w:r>
      <w:r>
        <w:rPr>
          <w:rFonts w:ascii="Verdana" w:hAnsi="Verdana" w:cs="Calibri"/>
          <w:color w:val="auto"/>
          <w:spacing w:val="-2"/>
          <w:sz w:val="22"/>
          <w:szCs w:val="22"/>
          <w:lang w:val="en-US" w:eastAsia="en-US"/>
        </w:rPr>
        <w:t xml:space="preserve"> </w:t>
      </w:r>
      <w:r>
        <w:rPr>
          <w:rFonts w:ascii="Verdana" w:hAnsi="Verdana" w:cs="Calibri"/>
          <w:color w:val="auto"/>
          <w:spacing w:val="2"/>
          <w:sz w:val="22"/>
          <w:szCs w:val="22"/>
          <w:lang w:val="en-US" w:eastAsia="en-US"/>
        </w:rPr>
        <w:t>t</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co</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p</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ete</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 xml:space="preserve">a </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u</w:t>
      </w:r>
      <w:r>
        <w:rPr>
          <w:rFonts w:ascii="Verdana" w:hAnsi="Verdana" w:cs="Calibri"/>
          <w:color w:val="auto"/>
          <w:spacing w:val="1"/>
          <w:sz w:val="22"/>
          <w:szCs w:val="22"/>
          <w:lang w:val="en-US" w:eastAsia="en-US"/>
        </w:rPr>
        <w:t>rs</w:t>
      </w:r>
      <w:r>
        <w:rPr>
          <w:rFonts w:ascii="Verdana" w:hAnsi="Verdana" w:cs="Calibri"/>
          <w:color w:val="auto"/>
          <w:sz w:val="22"/>
          <w:szCs w:val="22"/>
          <w:lang w:val="en-US" w:eastAsia="en-US"/>
        </w:rPr>
        <w:t>ework</w:t>
      </w:r>
      <w:r>
        <w:rPr>
          <w:rFonts w:ascii="Verdana" w:hAnsi="Verdana" w:cs="Calibri"/>
          <w:color w:val="auto"/>
          <w:spacing w:val="3"/>
          <w:sz w:val="22"/>
          <w:szCs w:val="22"/>
          <w:lang w:val="en-US" w:eastAsia="en-US"/>
        </w:rPr>
        <w:t xml:space="preserve"> </w:t>
      </w:r>
      <w:r>
        <w:rPr>
          <w:rFonts w:ascii="Verdana" w:hAnsi="Verdana" w:cs="Calibri"/>
          <w:color w:val="auto"/>
          <w:sz w:val="22"/>
          <w:szCs w:val="22"/>
          <w:lang w:val="en-US" w:eastAsia="en-US"/>
        </w:rPr>
        <w:t>as</w:t>
      </w:r>
      <w:r>
        <w:rPr>
          <w:rFonts w:ascii="Verdana" w:hAnsi="Verdana" w:cs="Calibri"/>
          <w:color w:val="auto"/>
          <w:spacing w:val="1"/>
          <w:sz w:val="22"/>
          <w:szCs w:val="22"/>
          <w:lang w:val="en-US" w:eastAsia="en-US"/>
        </w:rPr>
        <w:t>s</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g</w:t>
      </w:r>
      <w:r>
        <w:rPr>
          <w:rFonts w:ascii="Verdana" w:hAnsi="Verdana" w:cs="Calibri"/>
          <w:color w:val="auto"/>
          <w:spacing w:val="-1"/>
          <w:sz w:val="22"/>
          <w:szCs w:val="22"/>
          <w:lang w:val="en-US" w:eastAsia="en-US"/>
        </w:rPr>
        <w:t>n</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t</w:t>
      </w:r>
      <w:r>
        <w:rPr>
          <w:rFonts w:ascii="Verdana" w:hAnsi="Verdana" w:cs="Calibri"/>
          <w:color w:val="auto"/>
          <w:spacing w:val="-2"/>
          <w:sz w:val="22"/>
          <w:szCs w:val="22"/>
          <w:lang w:val="en-US" w:eastAsia="en-US"/>
        </w:rPr>
        <w:t xml:space="preserve"> </w:t>
      </w:r>
      <w:r>
        <w:rPr>
          <w:rFonts w:ascii="Verdana" w:hAnsi="Verdana" w:cs="Calibri"/>
          <w:color w:val="auto"/>
          <w:spacing w:val="-1"/>
          <w:sz w:val="22"/>
          <w:szCs w:val="22"/>
          <w:lang w:val="en-US" w:eastAsia="en-US"/>
        </w:rPr>
        <w:t>o</w:t>
      </w:r>
      <w:r>
        <w:rPr>
          <w:rFonts w:ascii="Verdana" w:hAnsi="Verdana" w:cs="Calibri"/>
          <w:color w:val="auto"/>
          <w:sz w:val="22"/>
          <w:szCs w:val="22"/>
          <w:lang w:val="en-US" w:eastAsia="en-US"/>
        </w:rPr>
        <w:t>r as</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s</w:t>
      </w:r>
      <w:r>
        <w:rPr>
          <w:rFonts w:ascii="Verdana" w:hAnsi="Verdana" w:cs="Calibri"/>
          <w:color w:val="auto"/>
          <w:spacing w:val="-1"/>
          <w:sz w:val="22"/>
          <w:szCs w:val="22"/>
          <w:lang w:val="en-US" w:eastAsia="en-US"/>
        </w:rPr>
        <w:t>s</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t,</w:t>
      </w:r>
      <w:r>
        <w:rPr>
          <w:rFonts w:ascii="Verdana" w:hAnsi="Verdana" w:cs="Calibri"/>
          <w:color w:val="auto"/>
          <w:spacing w:val="-2"/>
          <w:sz w:val="22"/>
          <w:szCs w:val="22"/>
          <w:lang w:val="en-US" w:eastAsia="en-US"/>
        </w:rPr>
        <w:t xml:space="preserve"> </w:t>
      </w:r>
      <w:r>
        <w:rPr>
          <w:rFonts w:ascii="Verdana" w:hAnsi="Verdana" w:cs="Calibri"/>
          <w:color w:val="auto"/>
          <w:spacing w:val="-1"/>
          <w:sz w:val="22"/>
          <w:szCs w:val="22"/>
          <w:lang w:val="en-US" w:eastAsia="en-US"/>
        </w:rPr>
        <w:t>u</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 xml:space="preserve">s </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 xml:space="preserve">t </w:t>
      </w:r>
      <w:r>
        <w:rPr>
          <w:rFonts w:ascii="Verdana" w:hAnsi="Verdana" w:cs="Calibri"/>
          <w:color w:val="auto"/>
          <w:spacing w:val="1"/>
          <w:sz w:val="22"/>
          <w:szCs w:val="22"/>
          <w:lang w:val="en-US" w:eastAsia="en-US"/>
        </w:rPr>
        <w:t>h</w:t>
      </w:r>
      <w:r>
        <w:rPr>
          <w:rFonts w:ascii="Verdana" w:hAnsi="Verdana" w:cs="Calibri"/>
          <w:color w:val="auto"/>
          <w:sz w:val="22"/>
          <w:szCs w:val="22"/>
          <w:lang w:val="en-US" w:eastAsia="en-US"/>
        </w:rPr>
        <w:t>as b</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 xml:space="preserve">en </w:t>
      </w:r>
      <w:r>
        <w:rPr>
          <w:rFonts w:ascii="Verdana" w:hAnsi="Verdana" w:cs="Calibri"/>
          <w:color w:val="auto"/>
          <w:spacing w:val="1"/>
          <w:sz w:val="22"/>
          <w:szCs w:val="22"/>
          <w:lang w:val="en-US" w:eastAsia="en-US"/>
        </w:rPr>
        <w:t>c</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a</w:t>
      </w:r>
      <w:r>
        <w:rPr>
          <w:rFonts w:ascii="Verdana" w:hAnsi="Verdana" w:cs="Calibri"/>
          <w:color w:val="auto"/>
          <w:spacing w:val="3"/>
          <w:sz w:val="22"/>
          <w:szCs w:val="22"/>
          <w:lang w:val="en-US" w:eastAsia="en-US"/>
        </w:rPr>
        <w:t>r</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y</w:t>
      </w:r>
      <w:r>
        <w:rPr>
          <w:rFonts w:ascii="Verdana" w:hAnsi="Verdana" w:cs="Calibri"/>
          <w:color w:val="auto"/>
          <w:spacing w:val="-5"/>
          <w:sz w:val="22"/>
          <w:szCs w:val="22"/>
          <w:lang w:val="en-US" w:eastAsia="en-US"/>
        </w:rPr>
        <w:t xml:space="preserve"> </w:t>
      </w:r>
      <w:r>
        <w:rPr>
          <w:rFonts w:ascii="Verdana" w:hAnsi="Verdana" w:cs="Calibri"/>
          <w:color w:val="auto"/>
          <w:spacing w:val="1"/>
          <w:sz w:val="22"/>
          <w:szCs w:val="22"/>
          <w:lang w:val="en-US" w:eastAsia="en-US"/>
        </w:rPr>
        <w:t>s</w:t>
      </w:r>
      <w:r>
        <w:rPr>
          <w:rFonts w:ascii="Verdana" w:hAnsi="Verdana" w:cs="Calibri"/>
          <w:color w:val="auto"/>
          <w:spacing w:val="2"/>
          <w:sz w:val="22"/>
          <w:szCs w:val="22"/>
          <w:lang w:val="en-US" w:eastAsia="en-US"/>
        </w:rPr>
        <w:t>t</w:t>
      </w:r>
      <w:r>
        <w:rPr>
          <w:rFonts w:ascii="Verdana" w:hAnsi="Verdana" w:cs="Calibri"/>
          <w:color w:val="auto"/>
          <w:sz w:val="22"/>
          <w:szCs w:val="22"/>
          <w:lang w:val="en-US" w:eastAsia="en-US"/>
        </w:rPr>
        <w:t>at</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d</w:t>
      </w:r>
      <w:r>
        <w:rPr>
          <w:rFonts w:ascii="Verdana" w:hAnsi="Verdana" w:cs="Calibri"/>
          <w:color w:val="auto"/>
          <w:spacing w:val="5"/>
          <w:sz w:val="22"/>
          <w:szCs w:val="22"/>
          <w:lang w:val="en-US" w:eastAsia="en-US"/>
        </w:rPr>
        <w:t xml:space="preserve"> </w:t>
      </w:r>
      <w:r>
        <w:rPr>
          <w:rFonts w:ascii="Verdana" w:hAnsi="Verdana" w:cs="Calibri"/>
          <w:color w:val="auto"/>
          <w:sz w:val="22"/>
          <w:szCs w:val="22"/>
          <w:lang w:val="en-US" w:eastAsia="en-US"/>
        </w:rPr>
        <w:t>t</w:t>
      </w:r>
      <w:r>
        <w:rPr>
          <w:rFonts w:ascii="Verdana" w:hAnsi="Verdana" w:cs="Calibri"/>
          <w:color w:val="auto"/>
          <w:spacing w:val="2"/>
          <w:sz w:val="22"/>
          <w:szCs w:val="22"/>
          <w:lang w:val="en-US" w:eastAsia="en-US"/>
        </w:rPr>
        <w:t>h</w:t>
      </w:r>
      <w:r>
        <w:rPr>
          <w:rFonts w:ascii="Verdana" w:hAnsi="Verdana" w:cs="Calibri"/>
          <w:color w:val="auto"/>
          <w:sz w:val="22"/>
          <w:szCs w:val="22"/>
          <w:lang w:val="en-US" w:eastAsia="en-US"/>
        </w:rPr>
        <w:t>at</w:t>
      </w:r>
      <w:r>
        <w:rPr>
          <w:rFonts w:ascii="Verdana" w:hAnsi="Verdana" w:cs="Calibri"/>
          <w:color w:val="auto"/>
          <w:spacing w:val="-2"/>
          <w:sz w:val="22"/>
          <w:szCs w:val="22"/>
          <w:lang w:val="en-US" w:eastAsia="en-US"/>
        </w:rPr>
        <w:t xml:space="preserve"> </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u</w:t>
      </w:r>
      <w:r>
        <w:rPr>
          <w:rFonts w:ascii="Verdana" w:hAnsi="Verdana" w:cs="Calibri"/>
          <w:color w:val="auto"/>
          <w:spacing w:val="3"/>
          <w:sz w:val="22"/>
          <w:szCs w:val="22"/>
          <w:lang w:val="en-US" w:eastAsia="en-US"/>
        </w:rPr>
        <w:t>c</w:t>
      </w:r>
      <w:r>
        <w:rPr>
          <w:rFonts w:ascii="Verdana" w:hAnsi="Verdana" w:cs="Calibri"/>
          <w:color w:val="auto"/>
          <w:sz w:val="22"/>
          <w:szCs w:val="22"/>
          <w:lang w:val="en-US" w:eastAsia="en-US"/>
        </w:rPr>
        <w:t xml:space="preserve">h </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ll</w:t>
      </w:r>
      <w:r>
        <w:rPr>
          <w:rFonts w:ascii="Verdana" w:hAnsi="Verdana" w:cs="Calibri"/>
          <w:color w:val="auto"/>
          <w:spacing w:val="2"/>
          <w:sz w:val="22"/>
          <w:szCs w:val="22"/>
          <w:lang w:val="en-US" w:eastAsia="en-US"/>
        </w:rPr>
        <w:t>a</w:t>
      </w:r>
      <w:r>
        <w:rPr>
          <w:rFonts w:ascii="Verdana" w:hAnsi="Verdana" w:cs="Calibri"/>
          <w:color w:val="auto"/>
          <w:sz w:val="22"/>
          <w:szCs w:val="22"/>
          <w:lang w:val="en-US" w:eastAsia="en-US"/>
        </w:rPr>
        <w:t>b</w:t>
      </w:r>
      <w:r>
        <w:rPr>
          <w:rFonts w:ascii="Verdana" w:hAnsi="Verdana" w:cs="Calibri"/>
          <w:color w:val="auto"/>
          <w:spacing w:val="-1"/>
          <w:sz w:val="22"/>
          <w:szCs w:val="22"/>
          <w:lang w:val="en-US" w:eastAsia="en-US"/>
        </w:rPr>
        <w:t>o</w:t>
      </w:r>
      <w:r>
        <w:rPr>
          <w:rFonts w:ascii="Verdana" w:hAnsi="Verdana" w:cs="Calibri"/>
          <w:color w:val="auto"/>
          <w:spacing w:val="1"/>
          <w:sz w:val="22"/>
          <w:szCs w:val="22"/>
          <w:lang w:val="en-US" w:eastAsia="en-US"/>
        </w:rPr>
        <w:t>r</w:t>
      </w:r>
      <w:r>
        <w:rPr>
          <w:rFonts w:ascii="Verdana" w:hAnsi="Verdana" w:cs="Calibri"/>
          <w:color w:val="auto"/>
          <w:sz w:val="22"/>
          <w:szCs w:val="22"/>
          <w:lang w:val="en-US" w:eastAsia="en-US"/>
        </w:rPr>
        <w:t>a</w:t>
      </w:r>
      <w:r>
        <w:rPr>
          <w:rFonts w:ascii="Verdana" w:hAnsi="Verdana" w:cs="Calibri"/>
          <w:color w:val="auto"/>
          <w:spacing w:val="2"/>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 xml:space="preserve">n </w:t>
      </w:r>
      <w:r>
        <w:rPr>
          <w:rFonts w:ascii="Verdana" w:hAnsi="Verdana" w:cs="Calibri"/>
          <w:color w:val="auto"/>
          <w:spacing w:val="-2"/>
          <w:sz w:val="22"/>
          <w:szCs w:val="22"/>
          <w:lang w:val="en-US" w:eastAsia="en-US"/>
        </w:rPr>
        <w:t>i</w:t>
      </w:r>
      <w:r>
        <w:rPr>
          <w:rFonts w:ascii="Verdana" w:hAnsi="Verdana" w:cs="Calibri"/>
          <w:color w:val="auto"/>
          <w:sz w:val="22"/>
          <w:szCs w:val="22"/>
          <w:lang w:val="en-US" w:eastAsia="en-US"/>
        </w:rPr>
        <w:t>s</w:t>
      </w:r>
      <w:r>
        <w:rPr>
          <w:rFonts w:ascii="Verdana" w:hAnsi="Verdana" w:cs="Calibri"/>
          <w:color w:val="auto"/>
          <w:spacing w:val="1"/>
          <w:sz w:val="22"/>
          <w:szCs w:val="22"/>
          <w:lang w:val="en-US" w:eastAsia="en-US"/>
        </w:rPr>
        <w:t xml:space="preserve"> </w:t>
      </w:r>
      <w:r>
        <w:rPr>
          <w:rFonts w:ascii="Verdana" w:hAnsi="Verdana" w:cs="Calibri"/>
          <w:color w:val="auto"/>
          <w:spacing w:val="2"/>
          <w:sz w:val="22"/>
          <w:szCs w:val="22"/>
          <w:lang w:val="en-US" w:eastAsia="en-US"/>
        </w:rPr>
        <w:t>p</w:t>
      </w:r>
      <w:r>
        <w:rPr>
          <w:rFonts w:ascii="Verdana" w:hAnsi="Verdana" w:cs="Calibri"/>
          <w:color w:val="auto"/>
          <w:sz w:val="22"/>
          <w:szCs w:val="22"/>
          <w:lang w:val="en-US" w:eastAsia="en-US"/>
        </w:rPr>
        <w:t>er</w:t>
      </w:r>
      <w:r>
        <w:rPr>
          <w:rFonts w:ascii="Verdana" w:hAnsi="Verdana" w:cs="Calibri"/>
          <w:color w:val="auto"/>
          <w:spacing w:val="5"/>
          <w:sz w:val="22"/>
          <w:szCs w:val="22"/>
          <w:lang w:val="en-US" w:eastAsia="en-US"/>
        </w:rPr>
        <w:t>m</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tt</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d.</w:t>
      </w:r>
    </w:p>
    <w:p>
      <w:pPr>
        <w:widowControl w:val="0"/>
        <w:numPr>
          <w:ilvl w:val="0"/>
          <w:numId w:val="26"/>
        </w:numPr>
        <w:tabs>
          <w:tab w:val="left" w:pos="851"/>
        </w:tabs>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z w:val="22"/>
          <w:szCs w:val="22"/>
          <w:lang w:val="en-US" w:eastAsia="en-US"/>
        </w:rPr>
        <w:t>Damage another student’s work.</w:t>
      </w:r>
    </w:p>
    <w:p>
      <w:pPr>
        <w:widowControl w:val="0"/>
        <w:numPr>
          <w:ilvl w:val="0"/>
          <w:numId w:val="23"/>
        </w:numPr>
        <w:tabs>
          <w:tab w:val="left" w:pos="851"/>
        </w:tabs>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z w:val="22"/>
          <w:szCs w:val="22"/>
          <w:lang w:val="en-US" w:eastAsia="en-US"/>
        </w:rPr>
        <w:t>Inc</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u</w:t>
      </w:r>
      <w:r>
        <w:rPr>
          <w:rFonts w:ascii="Verdana" w:hAnsi="Verdana" w:cs="Calibri"/>
          <w:color w:val="auto"/>
          <w:spacing w:val="1"/>
          <w:sz w:val="22"/>
          <w:szCs w:val="22"/>
          <w:lang w:val="en-US" w:eastAsia="en-US"/>
        </w:rPr>
        <w:t>si</w:t>
      </w:r>
      <w:r>
        <w:rPr>
          <w:rFonts w:ascii="Verdana" w:hAnsi="Verdana" w:cs="Calibri"/>
          <w:color w:val="auto"/>
          <w:sz w:val="22"/>
          <w:szCs w:val="22"/>
          <w:lang w:val="en-US" w:eastAsia="en-US"/>
        </w:rPr>
        <w:t>on of</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a</w:t>
      </w:r>
      <w:r>
        <w:rPr>
          <w:rFonts w:ascii="Verdana" w:hAnsi="Verdana" w:cs="Calibri"/>
          <w:color w:val="auto"/>
          <w:spacing w:val="2"/>
          <w:sz w:val="22"/>
          <w:szCs w:val="22"/>
          <w:lang w:val="en-US" w:eastAsia="en-US"/>
        </w:rPr>
        <w:t>p</w:t>
      </w:r>
      <w:r>
        <w:rPr>
          <w:rFonts w:ascii="Verdana" w:hAnsi="Verdana" w:cs="Calibri"/>
          <w:color w:val="auto"/>
          <w:sz w:val="22"/>
          <w:szCs w:val="22"/>
          <w:lang w:val="en-US" w:eastAsia="en-US"/>
        </w:rPr>
        <w:t>propr</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ate</w:t>
      </w:r>
      <w:r>
        <w:rPr>
          <w:rFonts w:ascii="Verdana" w:hAnsi="Verdana" w:cs="Calibri"/>
          <w:color w:val="auto"/>
          <w:spacing w:val="1"/>
          <w:sz w:val="22"/>
          <w:szCs w:val="22"/>
          <w:lang w:val="en-US" w:eastAsia="en-US"/>
        </w:rPr>
        <w:t xml:space="preserve"> </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r o</w:t>
      </w:r>
      <w:r>
        <w:rPr>
          <w:rFonts w:ascii="Verdana" w:hAnsi="Verdana" w:cs="Calibri"/>
          <w:color w:val="auto"/>
          <w:spacing w:val="1"/>
          <w:sz w:val="22"/>
          <w:szCs w:val="22"/>
          <w:lang w:val="en-US" w:eastAsia="en-US"/>
        </w:rPr>
        <w:t>f</w:t>
      </w:r>
      <w:r>
        <w:rPr>
          <w:rFonts w:ascii="Verdana" w:hAnsi="Verdana" w:cs="Calibri"/>
          <w:color w:val="auto"/>
          <w:spacing w:val="2"/>
          <w:sz w:val="22"/>
          <w:szCs w:val="22"/>
          <w:lang w:val="en-US" w:eastAsia="en-US"/>
        </w:rPr>
        <w:t>f</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pacing w:val="1"/>
          <w:sz w:val="22"/>
          <w:szCs w:val="22"/>
          <w:lang w:val="en-US" w:eastAsia="en-US"/>
        </w:rPr>
        <w:t>s</w:t>
      </w:r>
      <w:r>
        <w:rPr>
          <w:rFonts w:ascii="Verdana" w:hAnsi="Verdana" w:cs="Calibri"/>
          <w:color w:val="auto"/>
          <w:spacing w:val="-1"/>
          <w:sz w:val="22"/>
          <w:szCs w:val="22"/>
          <w:lang w:val="en-US" w:eastAsia="en-US"/>
        </w:rPr>
        <w:t>iv</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at</w:t>
      </w:r>
      <w:r>
        <w:rPr>
          <w:rFonts w:ascii="Verdana" w:hAnsi="Verdana" w:cs="Calibri"/>
          <w:color w:val="auto"/>
          <w:spacing w:val="-1"/>
          <w:sz w:val="22"/>
          <w:szCs w:val="22"/>
          <w:lang w:val="en-US" w:eastAsia="en-US"/>
        </w:rPr>
        <w:t>e</w:t>
      </w:r>
      <w:r>
        <w:rPr>
          <w:rFonts w:ascii="Verdana" w:hAnsi="Verdana" w:cs="Calibri"/>
          <w:color w:val="auto"/>
          <w:spacing w:val="1"/>
          <w:sz w:val="22"/>
          <w:szCs w:val="22"/>
          <w:lang w:val="en-US" w:eastAsia="en-US"/>
        </w:rPr>
        <w:t>r</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al</w:t>
      </w:r>
      <w:r>
        <w:rPr>
          <w:rFonts w:ascii="Verdana" w:hAnsi="Verdana" w:cs="Calibri"/>
          <w:color w:val="auto"/>
          <w:spacing w:val="-1"/>
          <w:sz w:val="22"/>
          <w:szCs w:val="22"/>
          <w:lang w:val="en-US" w:eastAsia="en-US"/>
        </w:rPr>
        <w:t xml:space="preserve"> i</w:t>
      </w:r>
      <w:r>
        <w:rPr>
          <w:rFonts w:ascii="Verdana" w:hAnsi="Verdana" w:cs="Calibri"/>
          <w:color w:val="auto"/>
          <w:sz w:val="22"/>
          <w:szCs w:val="22"/>
          <w:lang w:val="en-US" w:eastAsia="en-US"/>
        </w:rPr>
        <w:t>n c</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ur</w:t>
      </w:r>
      <w:r>
        <w:rPr>
          <w:rFonts w:ascii="Verdana" w:hAnsi="Verdana" w:cs="Calibri"/>
          <w:color w:val="auto"/>
          <w:spacing w:val="2"/>
          <w:sz w:val="22"/>
          <w:szCs w:val="22"/>
          <w:lang w:val="en-US" w:eastAsia="en-US"/>
        </w:rPr>
        <w:t>se</w:t>
      </w:r>
      <w:r>
        <w:rPr>
          <w:rFonts w:ascii="Verdana" w:hAnsi="Verdana" w:cs="Calibri"/>
          <w:color w:val="auto"/>
          <w:spacing w:val="-2"/>
          <w:sz w:val="22"/>
          <w:szCs w:val="22"/>
          <w:lang w:val="en-US" w:eastAsia="en-US"/>
        </w:rPr>
        <w:t>w</w:t>
      </w:r>
      <w:r>
        <w:rPr>
          <w:rFonts w:ascii="Verdana" w:hAnsi="Verdana" w:cs="Calibri"/>
          <w:color w:val="auto"/>
          <w:sz w:val="22"/>
          <w:szCs w:val="22"/>
          <w:lang w:val="en-US" w:eastAsia="en-US"/>
        </w:rPr>
        <w:t>ork</w:t>
      </w:r>
      <w:r>
        <w:rPr>
          <w:rFonts w:ascii="Verdana" w:hAnsi="Verdana" w:cs="Calibri"/>
          <w:color w:val="auto"/>
          <w:spacing w:val="3"/>
          <w:sz w:val="22"/>
          <w:szCs w:val="22"/>
          <w:lang w:val="en-US" w:eastAsia="en-US"/>
        </w:rPr>
        <w:t xml:space="preserve"> </w:t>
      </w:r>
      <w:r>
        <w:rPr>
          <w:rFonts w:ascii="Verdana" w:hAnsi="Verdana" w:cs="Calibri"/>
          <w:color w:val="auto"/>
          <w:sz w:val="22"/>
          <w:szCs w:val="22"/>
          <w:lang w:val="en-US" w:eastAsia="en-US"/>
        </w:rPr>
        <w:t>as</w:t>
      </w:r>
      <w:r>
        <w:rPr>
          <w:rFonts w:ascii="Verdana" w:hAnsi="Verdana" w:cs="Calibri"/>
          <w:color w:val="auto"/>
          <w:spacing w:val="1"/>
          <w:sz w:val="22"/>
          <w:szCs w:val="22"/>
          <w:lang w:val="en-US" w:eastAsia="en-US"/>
        </w:rPr>
        <w:t>s</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g</w:t>
      </w:r>
      <w:r>
        <w:rPr>
          <w:rFonts w:ascii="Verdana" w:hAnsi="Verdana" w:cs="Calibri"/>
          <w:color w:val="auto"/>
          <w:spacing w:val="-1"/>
          <w:sz w:val="22"/>
          <w:szCs w:val="22"/>
          <w:lang w:val="en-US" w:eastAsia="en-US"/>
        </w:rPr>
        <w:t>n</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ts</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or a</w:t>
      </w:r>
      <w:r>
        <w:rPr>
          <w:rFonts w:ascii="Verdana" w:hAnsi="Verdana" w:cs="Calibri"/>
          <w:color w:val="auto"/>
          <w:spacing w:val="1"/>
          <w:sz w:val="22"/>
          <w:szCs w:val="22"/>
          <w:lang w:val="en-US" w:eastAsia="en-US"/>
        </w:rPr>
        <w:t>ss</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s</w:t>
      </w:r>
      <w:r>
        <w:rPr>
          <w:rFonts w:ascii="Verdana" w:hAnsi="Verdana" w:cs="Calibri"/>
          <w:color w:val="auto"/>
          <w:spacing w:val="-1"/>
          <w:sz w:val="22"/>
          <w:szCs w:val="22"/>
          <w:lang w:val="en-US" w:eastAsia="en-US"/>
        </w:rPr>
        <w:t>s</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 xml:space="preserve">t </w:t>
      </w:r>
      <w:r>
        <w:rPr>
          <w:rFonts w:ascii="Verdana" w:hAnsi="Verdana" w:cs="Calibri"/>
          <w:color w:val="auto"/>
          <w:spacing w:val="1"/>
          <w:sz w:val="22"/>
          <w:szCs w:val="22"/>
          <w:lang w:val="en-US" w:eastAsia="en-US"/>
        </w:rPr>
        <w:t>scr</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pt</w:t>
      </w:r>
      <w:r>
        <w:rPr>
          <w:rFonts w:ascii="Verdana" w:hAnsi="Verdana" w:cs="Calibri"/>
          <w:color w:val="auto"/>
          <w:spacing w:val="3"/>
          <w:sz w:val="22"/>
          <w:szCs w:val="22"/>
          <w:lang w:val="en-US" w:eastAsia="en-US"/>
        </w:rPr>
        <w:t>s</w:t>
      </w:r>
      <w:r>
        <w:rPr>
          <w:rFonts w:ascii="Verdana" w:hAnsi="Verdana" w:cs="Calibri"/>
          <w:color w:val="auto"/>
          <w:sz w:val="22"/>
          <w:szCs w:val="22"/>
          <w:lang w:val="en-US" w:eastAsia="en-US"/>
        </w:rPr>
        <w:t>.</w:t>
      </w:r>
    </w:p>
    <w:p>
      <w:pPr>
        <w:widowControl w:val="0"/>
        <w:numPr>
          <w:ilvl w:val="0"/>
          <w:numId w:val="23"/>
        </w:numPr>
        <w:tabs>
          <w:tab w:val="left" w:pos="851"/>
        </w:tabs>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z w:val="22"/>
          <w:szCs w:val="22"/>
          <w:lang w:val="en-US" w:eastAsia="en-US"/>
        </w:rPr>
        <w:t>Fa</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ure</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 xml:space="preserve">to </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o</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p</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y</w:t>
      </w:r>
      <w:r>
        <w:rPr>
          <w:rFonts w:ascii="Verdana" w:hAnsi="Verdana" w:cs="Calibri"/>
          <w:color w:val="auto"/>
          <w:spacing w:val="-3"/>
          <w:sz w:val="22"/>
          <w:szCs w:val="22"/>
          <w:lang w:val="en-US" w:eastAsia="en-US"/>
        </w:rPr>
        <w:t xml:space="preserve"> </w:t>
      </w:r>
      <w:r>
        <w:rPr>
          <w:rFonts w:ascii="Verdana" w:hAnsi="Verdana" w:cs="Calibri"/>
          <w:color w:val="auto"/>
          <w:spacing w:val="-2"/>
          <w:sz w:val="22"/>
          <w:szCs w:val="22"/>
          <w:lang w:val="en-US" w:eastAsia="en-US"/>
        </w:rPr>
        <w:t>w</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th</w:t>
      </w:r>
      <w:r>
        <w:rPr>
          <w:rFonts w:ascii="Verdana" w:hAnsi="Verdana" w:cs="Calibri"/>
          <w:color w:val="auto"/>
          <w:spacing w:val="-2"/>
          <w:sz w:val="22"/>
          <w:szCs w:val="22"/>
          <w:lang w:val="en-US" w:eastAsia="en-US"/>
        </w:rPr>
        <w:t xml:space="preserve"> </w:t>
      </w:r>
      <w:r>
        <w:rPr>
          <w:rFonts w:ascii="Verdana" w:hAnsi="Verdana" w:cs="Calibri"/>
          <w:color w:val="auto"/>
          <w:spacing w:val="2"/>
          <w:sz w:val="22"/>
          <w:szCs w:val="22"/>
          <w:lang w:val="en-US" w:eastAsia="en-US"/>
        </w:rPr>
        <w:t>p</w:t>
      </w:r>
      <w:r>
        <w:rPr>
          <w:rFonts w:ascii="Verdana" w:hAnsi="Verdana" w:cs="Calibri"/>
          <w:color w:val="auto"/>
          <w:sz w:val="22"/>
          <w:szCs w:val="22"/>
          <w:lang w:val="en-US" w:eastAsia="en-US"/>
        </w:rPr>
        <w:t>u</w:t>
      </w:r>
      <w:r>
        <w:rPr>
          <w:rFonts w:ascii="Verdana" w:hAnsi="Verdana" w:cs="Calibri"/>
          <w:color w:val="auto"/>
          <w:spacing w:val="1"/>
          <w:sz w:val="22"/>
          <w:szCs w:val="22"/>
          <w:lang w:val="en-US" w:eastAsia="en-US"/>
        </w:rPr>
        <w:t>b</w:t>
      </w:r>
      <w:r>
        <w:rPr>
          <w:rFonts w:ascii="Verdana" w:hAnsi="Verdana" w:cs="Calibri"/>
          <w:color w:val="auto"/>
          <w:spacing w:val="-1"/>
          <w:sz w:val="22"/>
          <w:szCs w:val="22"/>
          <w:lang w:val="en-US" w:eastAsia="en-US"/>
        </w:rPr>
        <w:t>l</w:t>
      </w:r>
      <w:r>
        <w:rPr>
          <w:rFonts w:ascii="Verdana" w:hAnsi="Verdana" w:cs="Calibri"/>
          <w:color w:val="auto"/>
          <w:spacing w:val="1"/>
          <w:sz w:val="22"/>
          <w:szCs w:val="22"/>
          <w:lang w:val="en-US" w:eastAsia="en-US"/>
        </w:rPr>
        <w:t>is</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d</w:t>
      </w:r>
      <w:r>
        <w:rPr>
          <w:rFonts w:ascii="Verdana" w:hAnsi="Verdana" w:cs="Calibri"/>
          <w:color w:val="auto"/>
          <w:spacing w:val="2"/>
          <w:sz w:val="22"/>
          <w:szCs w:val="22"/>
          <w:lang w:val="en-US" w:eastAsia="en-US"/>
        </w:rPr>
        <w:t xml:space="preserve"> e</w:t>
      </w:r>
      <w:r>
        <w:rPr>
          <w:rFonts w:ascii="Verdana" w:hAnsi="Verdana" w:cs="Calibri"/>
          <w:color w:val="auto"/>
          <w:spacing w:val="1"/>
          <w:sz w:val="22"/>
          <w:szCs w:val="22"/>
          <w:lang w:val="en-US" w:eastAsia="en-US"/>
        </w:rPr>
        <w:t>x</w:t>
      </w:r>
      <w:r>
        <w:rPr>
          <w:rFonts w:ascii="Verdana" w:hAnsi="Verdana" w:cs="Calibri"/>
          <w:color w:val="auto"/>
          <w:sz w:val="22"/>
          <w:szCs w:val="22"/>
          <w:lang w:val="en-US" w:eastAsia="en-US"/>
        </w:rPr>
        <w:t>a</w:t>
      </w:r>
      <w:r>
        <w:rPr>
          <w:rFonts w:ascii="Verdana" w:hAnsi="Verdana" w:cs="Calibri"/>
          <w:color w:val="auto"/>
          <w:spacing w:val="4"/>
          <w:sz w:val="22"/>
          <w:szCs w:val="22"/>
          <w:lang w:val="en-US" w:eastAsia="en-US"/>
        </w:rPr>
        <w:t>m</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a</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re</w:t>
      </w:r>
      <w:r>
        <w:rPr>
          <w:rFonts w:ascii="Verdana" w:hAnsi="Verdana" w:cs="Calibri"/>
          <w:color w:val="auto"/>
          <w:spacing w:val="2"/>
          <w:sz w:val="22"/>
          <w:szCs w:val="22"/>
          <w:lang w:val="en-US" w:eastAsia="en-US"/>
        </w:rPr>
        <w:t>g</w:t>
      </w:r>
      <w:r>
        <w:rPr>
          <w:rFonts w:ascii="Verdana" w:hAnsi="Verdana" w:cs="Calibri"/>
          <w:color w:val="auto"/>
          <w:sz w:val="22"/>
          <w:szCs w:val="22"/>
          <w:lang w:val="en-US" w:eastAsia="en-US"/>
        </w:rPr>
        <w:t>u</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at</w:t>
      </w:r>
      <w:r>
        <w:rPr>
          <w:rFonts w:ascii="Verdana" w:hAnsi="Verdana" w:cs="Calibri"/>
          <w:color w:val="auto"/>
          <w:spacing w:val="-2"/>
          <w:sz w:val="22"/>
          <w:szCs w:val="22"/>
          <w:lang w:val="en-US" w:eastAsia="en-US"/>
        </w:rPr>
        <w:t>i</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n</w:t>
      </w:r>
      <w:r>
        <w:rPr>
          <w:rFonts w:ascii="Verdana" w:hAnsi="Verdana" w:cs="Calibri"/>
          <w:color w:val="auto"/>
          <w:spacing w:val="3"/>
          <w:sz w:val="22"/>
          <w:szCs w:val="22"/>
          <w:lang w:val="en-US" w:eastAsia="en-US"/>
        </w:rPr>
        <w:t>s</w:t>
      </w:r>
      <w:r>
        <w:rPr>
          <w:rFonts w:ascii="Verdana" w:hAnsi="Verdana" w:cs="Calibri"/>
          <w:color w:val="auto"/>
          <w:sz w:val="22"/>
          <w:szCs w:val="22"/>
          <w:lang w:val="en-US" w:eastAsia="en-US"/>
        </w:rPr>
        <w:t>.</w:t>
      </w:r>
    </w:p>
    <w:p>
      <w:pPr>
        <w:widowControl w:val="0"/>
        <w:numPr>
          <w:ilvl w:val="0"/>
          <w:numId w:val="23"/>
        </w:numPr>
        <w:tabs>
          <w:tab w:val="left" w:pos="851"/>
        </w:tabs>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sr</w:t>
      </w:r>
      <w:r>
        <w:rPr>
          <w:rFonts w:ascii="Verdana" w:hAnsi="Verdana" w:cs="Calibri"/>
          <w:color w:val="auto"/>
          <w:sz w:val="22"/>
          <w:szCs w:val="22"/>
          <w:lang w:val="en-US" w:eastAsia="en-US"/>
        </w:rPr>
        <w:t>u</w:t>
      </w:r>
      <w:r>
        <w:rPr>
          <w:rFonts w:ascii="Verdana" w:hAnsi="Verdana" w:cs="Calibri"/>
          <w:color w:val="auto"/>
          <w:spacing w:val="-1"/>
          <w:sz w:val="22"/>
          <w:szCs w:val="22"/>
          <w:lang w:val="en-US" w:eastAsia="en-US"/>
        </w:rPr>
        <w:t>p</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iv</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b</w:t>
      </w:r>
      <w:r>
        <w:rPr>
          <w:rFonts w:ascii="Verdana" w:hAnsi="Verdana" w:cs="Calibri"/>
          <w:color w:val="auto"/>
          <w:spacing w:val="2"/>
          <w:sz w:val="22"/>
          <w:szCs w:val="22"/>
          <w:lang w:val="en-US" w:eastAsia="en-US"/>
        </w:rPr>
        <w:t>e</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a</w:t>
      </w:r>
      <w:r>
        <w:rPr>
          <w:rFonts w:ascii="Verdana" w:hAnsi="Verdana" w:cs="Calibri"/>
          <w:color w:val="auto"/>
          <w:spacing w:val="-1"/>
          <w:sz w:val="22"/>
          <w:szCs w:val="22"/>
          <w:lang w:val="en-US" w:eastAsia="en-US"/>
        </w:rPr>
        <w:t>v</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u</w:t>
      </w:r>
      <w:r>
        <w:rPr>
          <w:rFonts w:ascii="Verdana" w:hAnsi="Verdana" w:cs="Calibri"/>
          <w:color w:val="auto"/>
          <w:sz w:val="22"/>
          <w:szCs w:val="22"/>
          <w:lang w:val="en-US" w:eastAsia="en-US"/>
        </w:rPr>
        <w:t>r or</w:t>
      </w:r>
      <w:r>
        <w:rPr>
          <w:rFonts w:ascii="Verdana" w:hAnsi="Verdana" w:cs="Calibri"/>
          <w:color w:val="auto"/>
          <w:spacing w:val="-2"/>
          <w:sz w:val="22"/>
          <w:szCs w:val="22"/>
          <w:lang w:val="en-US" w:eastAsia="en-US"/>
        </w:rPr>
        <w:t xml:space="preserve"> </w:t>
      </w:r>
      <w:r>
        <w:rPr>
          <w:rFonts w:ascii="Verdana" w:hAnsi="Verdana" w:cs="Calibri"/>
          <w:color w:val="auto"/>
          <w:spacing w:val="2"/>
          <w:sz w:val="22"/>
          <w:szCs w:val="22"/>
          <w:lang w:val="en-US" w:eastAsia="en-US"/>
        </w:rPr>
        <w:t>u</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acc</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p</w:t>
      </w:r>
      <w:r>
        <w:rPr>
          <w:rFonts w:ascii="Verdana" w:hAnsi="Verdana" w:cs="Calibri"/>
          <w:color w:val="auto"/>
          <w:sz w:val="22"/>
          <w:szCs w:val="22"/>
          <w:lang w:val="en-US" w:eastAsia="en-US"/>
        </w:rPr>
        <w:t>ta</w:t>
      </w:r>
      <w:r>
        <w:rPr>
          <w:rFonts w:ascii="Verdana" w:hAnsi="Verdana" w:cs="Calibri"/>
          <w:color w:val="auto"/>
          <w:spacing w:val="-1"/>
          <w:sz w:val="22"/>
          <w:szCs w:val="22"/>
          <w:lang w:val="en-US" w:eastAsia="en-US"/>
        </w:rPr>
        <w:t>b</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co</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u</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 xml:space="preserve">t, including the use of </w:t>
      </w:r>
      <w:r>
        <w:rPr>
          <w:rFonts w:ascii="Verdana" w:hAnsi="Verdana" w:cs="Calibri"/>
          <w:color w:val="auto"/>
          <w:spacing w:val="1"/>
          <w:sz w:val="22"/>
          <w:szCs w:val="22"/>
          <w:lang w:val="en-US" w:eastAsia="en-US"/>
        </w:rPr>
        <w:t>a</w:t>
      </w:r>
      <w:r>
        <w:rPr>
          <w:rFonts w:ascii="Verdana" w:hAnsi="Verdana" w:cs="Calibri"/>
          <w:color w:val="auto"/>
          <w:sz w:val="22"/>
          <w:szCs w:val="22"/>
          <w:lang w:val="en-US" w:eastAsia="en-US"/>
        </w:rPr>
        <w:t>g</w:t>
      </w:r>
      <w:r>
        <w:rPr>
          <w:rFonts w:ascii="Verdana" w:hAnsi="Verdana" w:cs="Calibri"/>
          <w:color w:val="auto"/>
          <w:spacing w:val="-1"/>
          <w:sz w:val="22"/>
          <w:szCs w:val="22"/>
          <w:lang w:val="en-US" w:eastAsia="en-US"/>
        </w:rPr>
        <w:t>g</w:t>
      </w:r>
      <w:r>
        <w:rPr>
          <w:rFonts w:ascii="Verdana" w:hAnsi="Verdana" w:cs="Calibri"/>
          <w:color w:val="auto"/>
          <w:spacing w:val="1"/>
          <w:sz w:val="22"/>
          <w:szCs w:val="22"/>
          <w:lang w:val="en-US" w:eastAsia="en-US"/>
        </w:rPr>
        <w:t>r</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ssi</w:t>
      </w:r>
      <w:r>
        <w:rPr>
          <w:rFonts w:ascii="Verdana" w:hAnsi="Verdana" w:cs="Calibri"/>
          <w:color w:val="auto"/>
          <w:spacing w:val="-1"/>
          <w:sz w:val="22"/>
          <w:szCs w:val="22"/>
          <w:lang w:val="en-US" w:eastAsia="en-US"/>
        </w:rPr>
        <w:t>v</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o</w:t>
      </w:r>
      <w:r>
        <w:rPr>
          <w:rFonts w:ascii="Verdana" w:hAnsi="Verdana" w:cs="Calibri"/>
          <w:color w:val="auto"/>
          <w:sz w:val="22"/>
          <w:szCs w:val="22"/>
          <w:lang w:val="en-US" w:eastAsia="en-US"/>
        </w:rPr>
        <w:t>r</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o</w:t>
      </w:r>
      <w:r>
        <w:rPr>
          <w:rFonts w:ascii="Verdana" w:hAnsi="Verdana" w:cs="Calibri"/>
          <w:color w:val="auto"/>
          <w:spacing w:val="2"/>
          <w:sz w:val="22"/>
          <w:szCs w:val="22"/>
          <w:lang w:val="en-US" w:eastAsia="en-US"/>
        </w:rPr>
        <w:t>f</w:t>
      </w:r>
      <w:r>
        <w:rPr>
          <w:rFonts w:ascii="Verdana" w:hAnsi="Verdana" w:cs="Calibri"/>
          <w:color w:val="auto"/>
          <w:sz w:val="22"/>
          <w:szCs w:val="22"/>
          <w:lang w:val="en-US" w:eastAsia="en-US"/>
        </w:rPr>
        <w:t>fe</w:t>
      </w:r>
      <w:r>
        <w:rPr>
          <w:rFonts w:ascii="Verdana" w:hAnsi="Verdana" w:cs="Calibri"/>
          <w:color w:val="auto"/>
          <w:spacing w:val="2"/>
          <w:sz w:val="22"/>
          <w:szCs w:val="22"/>
          <w:lang w:val="en-US" w:eastAsia="en-US"/>
        </w:rPr>
        <w:t>n</w:t>
      </w:r>
      <w:r>
        <w:rPr>
          <w:rFonts w:ascii="Verdana" w:hAnsi="Verdana" w:cs="Calibri"/>
          <w:color w:val="auto"/>
          <w:spacing w:val="1"/>
          <w:sz w:val="22"/>
          <w:szCs w:val="22"/>
          <w:lang w:val="en-US" w:eastAsia="en-US"/>
        </w:rPr>
        <w:t>si</w:t>
      </w:r>
      <w:r>
        <w:rPr>
          <w:rFonts w:ascii="Verdana" w:hAnsi="Verdana" w:cs="Calibri"/>
          <w:color w:val="auto"/>
          <w:spacing w:val="-1"/>
          <w:sz w:val="22"/>
          <w:szCs w:val="22"/>
          <w:lang w:val="en-US" w:eastAsia="en-US"/>
        </w:rPr>
        <w:t>v</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g</w:t>
      </w:r>
      <w:r>
        <w:rPr>
          <w:rFonts w:ascii="Verdana" w:hAnsi="Verdana" w:cs="Calibri"/>
          <w:color w:val="auto"/>
          <w:spacing w:val="-1"/>
          <w:sz w:val="22"/>
          <w:szCs w:val="22"/>
          <w:lang w:val="en-US" w:eastAsia="en-US"/>
        </w:rPr>
        <w:t>u</w:t>
      </w:r>
      <w:r>
        <w:rPr>
          <w:rFonts w:ascii="Verdana" w:hAnsi="Verdana" w:cs="Calibri"/>
          <w:color w:val="auto"/>
          <w:spacing w:val="2"/>
          <w:sz w:val="22"/>
          <w:szCs w:val="22"/>
          <w:lang w:val="en-US" w:eastAsia="en-US"/>
        </w:rPr>
        <w:t>a</w:t>
      </w:r>
      <w:r>
        <w:rPr>
          <w:rFonts w:ascii="Verdana" w:hAnsi="Verdana" w:cs="Calibri"/>
          <w:color w:val="auto"/>
          <w:sz w:val="22"/>
          <w:szCs w:val="22"/>
          <w:lang w:val="en-US" w:eastAsia="en-US"/>
        </w:rPr>
        <w:t>ge</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or</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be</w:t>
      </w:r>
      <w:r>
        <w:rPr>
          <w:rFonts w:ascii="Verdana" w:hAnsi="Verdana" w:cs="Calibri"/>
          <w:color w:val="auto"/>
          <w:spacing w:val="1"/>
          <w:sz w:val="22"/>
          <w:szCs w:val="22"/>
          <w:lang w:val="en-US" w:eastAsia="en-US"/>
        </w:rPr>
        <w:t>h</w:t>
      </w:r>
      <w:r>
        <w:rPr>
          <w:rFonts w:ascii="Verdana" w:hAnsi="Verdana" w:cs="Calibri"/>
          <w:color w:val="auto"/>
          <w:spacing w:val="2"/>
          <w:sz w:val="22"/>
          <w:szCs w:val="22"/>
          <w:lang w:val="en-US" w:eastAsia="en-US"/>
        </w:rPr>
        <w:t>a</w:t>
      </w:r>
      <w:r>
        <w:rPr>
          <w:rFonts w:ascii="Verdana" w:hAnsi="Verdana" w:cs="Calibri"/>
          <w:color w:val="auto"/>
          <w:spacing w:val="-1"/>
          <w:sz w:val="22"/>
          <w:szCs w:val="22"/>
          <w:lang w:val="en-US" w:eastAsia="en-US"/>
        </w:rPr>
        <w:t>vi</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u</w:t>
      </w:r>
      <w:r>
        <w:rPr>
          <w:rFonts w:ascii="Verdana" w:hAnsi="Verdana" w:cs="Calibri"/>
          <w:color w:val="auto"/>
          <w:spacing w:val="3"/>
          <w:sz w:val="22"/>
          <w:szCs w:val="22"/>
          <w:lang w:val="en-US" w:eastAsia="en-US"/>
        </w:rPr>
        <w:t>r</w:t>
      </w:r>
      <w:r>
        <w:rPr>
          <w:rFonts w:ascii="Verdana" w:hAnsi="Verdana" w:cs="Calibri"/>
          <w:color w:val="auto"/>
          <w:sz w:val="22"/>
          <w:szCs w:val="22"/>
          <w:lang w:val="en-US" w:eastAsia="en-US"/>
        </w:rPr>
        <w:t>.</w:t>
      </w:r>
    </w:p>
    <w:p>
      <w:pPr>
        <w:widowControl w:val="0"/>
        <w:numPr>
          <w:ilvl w:val="0"/>
          <w:numId w:val="23"/>
        </w:numPr>
        <w:tabs>
          <w:tab w:val="left" w:pos="851"/>
        </w:tabs>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pacing w:val="-1"/>
          <w:sz w:val="22"/>
          <w:szCs w:val="22"/>
          <w:lang w:val="en-US" w:eastAsia="en-US"/>
        </w:rPr>
        <w:t>P</w:t>
      </w:r>
      <w:r>
        <w:rPr>
          <w:rFonts w:ascii="Verdana" w:hAnsi="Verdana" w:cs="Calibri"/>
          <w:color w:val="auto"/>
          <w:spacing w:val="1"/>
          <w:sz w:val="22"/>
          <w:szCs w:val="22"/>
          <w:lang w:val="en-US" w:eastAsia="en-US"/>
        </w:rPr>
        <w:t>r</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d</w:t>
      </w:r>
      <w:r>
        <w:rPr>
          <w:rFonts w:ascii="Verdana" w:hAnsi="Verdana" w:cs="Calibri"/>
          <w:color w:val="auto"/>
          <w:sz w:val="22"/>
          <w:szCs w:val="22"/>
          <w:lang w:val="en-US" w:eastAsia="en-US"/>
        </w:rPr>
        <w:t>u</w:t>
      </w:r>
      <w:r>
        <w:rPr>
          <w:rFonts w:ascii="Verdana" w:hAnsi="Verdana" w:cs="Calibri"/>
          <w:color w:val="auto"/>
          <w:spacing w:val="3"/>
          <w:sz w:val="22"/>
          <w:szCs w:val="22"/>
          <w:lang w:val="en-US" w:eastAsia="en-US"/>
        </w:rPr>
        <w:t>c</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g</w:t>
      </w:r>
      <w:r>
        <w:rPr>
          <w:rFonts w:ascii="Verdana" w:hAnsi="Verdana" w:cs="Calibri"/>
          <w:color w:val="auto"/>
          <w:sz w:val="22"/>
          <w:szCs w:val="22"/>
          <w:lang w:val="en-US" w:eastAsia="en-US"/>
        </w:rPr>
        <w:t xml:space="preserve"> or us</w:t>
      </w:r>
      <w:r>
        <w:rPr>
          <w:rFonts w:ascii="Verdana" w:hAnsi="Verdana" w:cs="Calibri"/>
          <w:color w:val="auto"/>
          <w:spacing w:val="-1"/>
          <w:sz w:val="22"/>
          <w:szCs w:val="22"/>
          <w:lang w:val="en-US" w:eastAsia="en-US"/>
        </w:rPr>
        <w:t>i</w:t>
      </w:r>
      <w:r>
        <w:rPr>
          <w:rFonts w:ascii="Verdana" w:hAnsi="Verdana" w:cs="Calibri"/>
          <w:color w:val="auto"/>
          <w:spacing w:val="2"/>
          <w:sz w:val="22"/>
          <w:szCs w:val="22"/>
          <w:lang w:val="en-US" w:eastAsia="en-US"/>
        </w:rPr>
        <w:t>n</w:t>
      </w:r>
      <w:r>
        <w:rPr>
          <w:rFonts w:ascii="Verdana" w:hAnsi="Verdana" w:cs="Calibri"/>
          <w:color w:val="auto"/>
          <w:sz w:val="22"/>
          <w:szCs w:val="22"/>
          <w:lang w:val="en-US" w:eastAsia="en-US"/>
        </w:rPr>
        <w:t>g</w:t>
      </w:r>
      <w:r>
        <w:rPr>
          <w:rFonts w:ascii="Verdana" w:hAnsi="Verdana" w:cs="Calibri"/>
          <w:color w:val="auto"/>
          <w:spacing w:val="-2"/>
          <w:sz w:val="22"/>
          <w:szCs w:val="22"/>
          <w:lang w:val="en-US" w:eastAsia="en-US"/>
        </w:rPr>
        <w:t xml:space="preserve"> </w:t>
      </w:r>
      <w:r>
        <w:rPr>
          <w:rFonts w:ascii="Verdana" w:hAnsi="Verdana" w:cs="Calibri"/>
          <w:color w:val="auto"/>
          <w:spacing w:val="2"/>
          <w:sz w:val="22"/>
          <w:szCs w:val="22"/>
          <w:lang w:val="en-US" w:eastAsia="en-US"/>
        </w:rPr>
        <w:t>f</w:t>
      </w:r>
      <w:r>
        <w:rPr>
          <w:rFonts w:ascii="Verdana" w:hAnsi="Verdana" w:cs="Calibri"/>
          <w:color w:val="auto"/>
          <w:sz w:val="22"/>
          <w:szCs w:val="22"/>
          <w:lang w:val="en-US" w:eastAsia="en-US"/>
        </w:rPr>
        <w:t>orged or</w:t>
      </w:r>
      <w:r>
        <w:rPr>
          <w:rFonts w:ascii="Verdana" w:hAnsi="Verdana" w:cs="Calibri"/>
          <w:color w:val="auto"/>
          <w:spacing w:val="3"/>
          <w:sz w:val="22"/>
          <w:szCs w:val="22"/>
          <w:lang w:val="en-US" w:eastAsia="en-US"/>
        </w:rPr>
        <w:t xml:space="preserve"> </w:t>
      </w:r>
      <w:r>
        <w:rPr>
          <w:rFonts w:ascii="Verdana" w:hAnsi="Verdana" w:cs="Calibri"/>
          <w:color w:val="auto"/>
          <w:spacing w:val="2"/>
          <w:sz w:val="22"/>
          <w:szCs w:val="22"/>
          <w:lang w:val="en-US" w:eastAsia="en-US"/>
        </w:rPr>
        <w:t>f</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pacing w:val="1"/>
          <w:sz w:val="22"/>
          <w:szCs w:val="22"/>
          <w:lang w:val="en-US" w:eastAsia="en-US"/>
        </w:rPr>
        <w:t>s</w:t>
      </w:r>
      <w:r>
        <w:rPr>
          <w:rFonts w:ascii="Verdana" w:hAnsi="Verdana" w:cs="Calibri"/>
          <w:color w:val="auto"/>
          <w:spacing w:val="-1"/>
          <w:sz w:val="22"/>
          <w:szCs w:val="22"/>
          <w:lang w:val="en-US" w:eastAsia="en-US"/>
        </w:rPr>
        <w:t>i</w:t>
      </w:r>
      <w:r>
        <w:rPr>
          <w:rFonts w:ascii="Verdana" w:hAnsi="Verdana" w:cs="Calibri"/>
          <w:color w:val="auto"/>
          <w:spacing w:val="2"/>
          <w:sz w:val="22"/>
          <w:szCs w:val="22"/>
          <w:lang w:val="en-US" w:eastAsia="en-US"/>
        </w:rPr>
        <w:t>f</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ed</w:t>
      </w:r>
      <w:r>
        <w:rPr>
          <w:rFonts w:ascii="Verdana" w:hAnsi="Verdana" w:cs="Calibri"/>
          <w:color w:val="auto"/>
          <w:spacing w:val="-1"/>
          <w:sz w:val="22"/>
          <w:szCs w:val="22"/>
          <w:lang w:val="en-US" w:eastAsia="en-US"/>
        </w:rPr>
        <w:t xml:space="preserve"> </w:t>
      </w:r>
      <w:r>
        <w:rPr>
          <w:rFonts w:ascii="Verdana" w:hAnsi="Verdana" w:cs="Calibri"/>
          <w:color w:val="auto"/>
          <w:spacing w:val="2"/>
          <w:sz w:val="22"/>
          <w:szCs w:val="22"/>
          <w:lang w:val="en-US" w:eastAsia="en-US"/>
        </w:rPr>
        <w:t>d</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u</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ta</w:t>
      </w:r>
      <w:r>
        <w:rPr>
          <w:rFonts w:ascii="Verdana" w:hAnsi="Verdana" w:cs="Calibri"/>
          <w:color w:val="auto"/>
          <w:spacing w:val="-1"/>
          <w:sz w:val="22"/>
          <w:szCs w:val="22"/>
          <w:lang w:val="en-US" w:eastAsia="en-US"/>
        </w:rPr>
        <w:t>ti</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n.</w:t>
      </w:r>
    </w:p>
    <w:p>
      <w:pPr>
        <w:widowControl w:val="0"/>
        <w:numPr>
          <w:ilvl w:val="0"/>
          <w:numId w:val="23"/>
        </w:numPr>
        <w:tabs>
          <w:tab w:val="left" w:pos="851"/>
        </w:tabs>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z w:val="22"/>
          <w:szCs w:val="22"/>
          <w:lang w:val="en-US" w:eastAsia="en-US"/>
        </w:rPr>
        <w:t>Fraudulent claims for  special consideration while studying.</w:t>
      </w:r>
    </w:p>
    <w:p>
      <w:pPr>
        <w:numPr>
          <w:ilvl w:val="0"/>
          <w:numId w:val="23"/>
        </w:numPr>
        <w:rPr>
          <w:rFonts w:ascii="Verdana" w:hAnsi="Verdana" w:cs="Calibri"/>
          <w:color w:val="auto"/>
          <w:sz w:val="22"/>
          <w:szCs w:val="22"/>
          <w:lang w:val="en-US" w:eastAsia="en-US"/>
        </w:rPr>
      </w:pPr>
      <w:r>
        <w:rPr>
          <w:rFonts w:ascii="Verdana" w:hAnsi="Verdana" w:cs="Calibri"/>
          <w:color w:val="auto"/>
          <w:sz w:val="22"/>
          <w:szCs w:val="22"/>
          <w:lang w:val="en-US" w:eastAsia="en-US"/>
        </w:rPr>
        <w:t>Possession of any materials not permitted in the assessment room, regardless of whether or not the student refers to them during the assessment process, for example: notes, blank paper, electronic devices including mobile phones, personal organisers, books, dictionaries / calculators (when prohibited).</w:t>
      </w:r>
    </w:p>
    <w:p>
      <w:pPr>
        <w:ind w:left="720"/>
        <w:rPr>
          <w:rFonts w:ascii="Verdana" w:hAnsi="Verdana" w:cs="Calibri"/>
          <w:color w:val="auto"/>
          <w:sz w:val="22"/>
          <w:szCs w:val="22"/>
          <w:lang w:val="en-US" w:eastAsia="en-US"/>
        </w:rPr>
      </w:pPr>
    </w:p>
    <w:p>
      <w:pPr>
        <w:widowControl w:val="0"/>
        <w:numPr>
          <w:ilvl w:val="0"/>
          <w:numId w:val="23"/>
        </w:numPr>
        <w:suppressAutoHyphens w:val="0"/>
        <w:autoSpaceDE w:val="0"/>
        <w:autoSpaceDN w:val="0"/>
        <w:adjustRightInd w:val="0"/>
        <w:spacing w:after="200" w:line="276" w:lineRule="auto"/>
        <w:ind w:right="26"/>
        <w:jc w:val="both"/>
        <w:rPr>
          <w:rFonts w:ascii="Verdana" w:hAnsi="Verdana" w:cs="Calibri"/>
          <w:color w:val="auto"/>
          <w:sz w:val="22"/>
          <w:szCs w:val="22"/>
          <w:lang w:val="en-US" w:eastAsia="en-US"/>
        </w:rPr>
      </w:pPr>
      <w:r>
        <w:rPr>
          <w:rFonts w:ascii="Verdana" w:hAnsi="Verdana" w:cs="Calibri"/>
          <w:color w:val="auto"/>
          <w:sz w:val="22"/>
          <w:szCs w:val="22"/>
          <w:lang w:val="en-US" w:eastAsia="en-US"/>
        </w:rPr>
        <w:lastRenderedPageBreak/>
        <w:t>Communicating in any form, verbally or electronically, with other students in the assessment room.</w:t>
      </w:r>
    </w:p>
    <w:p>
      <w:pPr>
        <w:numPr>
          <w:ilvl w:val="0"/>
          <w:numId w:val="23"/>
        </w:numPr>
        <w:rPr>
          <w:rFonts w:ascii="Verdana" w:hAnsi="Verdana" w:cs="Calibri"/>
          <w:color w:val="auto"/>
          <w:sz w:val="22"/>
          <w:szCs w:val="22"/>
          <w:lang w:val="en-US" w:eastAsia="en-US"/>
        </w:rPr>
      </w:pPr>
      <w:r>
        <w:rPr>
          <w:rFonts w:ascii="Verdana" w:hAnsi="Verdana" w:cs="Calibri"/>
          <w:color w:val="auto"/>
          <w:sz w:val="22"/>
          <w:szCs w:val="22"/>
          <w:lang w:val="en-US" w:eastAsia="en-US"/>
        </w:rPr>
        <w:t>Copying the work of another student or knowingly allowing another student to copy your own work.</w:t>
      </w:r>
    </w:p>
    <w:p>
      <w:pPr>
        <w:ind w:left="720"/>
        <w:rPr>
          <w:rFonts w:ascii="Verdana" w:hAnsi="Verdana" w:cs="Calibri"/>
          <w:color w:val="auto"/>
          <w:sz w:val="22"/>
          <w:szCs w:val="22"/>
          <w:lang w:val="en-US" w:eastAsia="en-US"/>
        </w:rPr>
      </w:pPr>
    </w:p>
    <w:p>
      <w:pPr>
        <w:numPr>
          <w:ilvl w:val="0"/>
          <w:numId w:val="23"/>
        </w:numPr>
        <w:rPr>
          <w:rFonts w:ascii="Verdana" w:hAnsi="Verdana" w:cs="Calibri"/>
          <w:color w:val="auto"/>
          <w:sz w:val="22"/>
          <w:szCs w:val="22"/>
          <w:lang w:val="en-US" w:eastAsia="en-US"/>
        </w:rPr>
      </w:pPr>
      <w:r>
        <w:rPr>
          <w:rFonts w:ascii="Verdana" w:hAnsi="Verdana" w:cs="Calibri"/>
          <w:color w:val="auto"/>
          <w:sz w:val="22"/>
          <w:szCs w:val="22"/>
          <w:lang w:val="en-US" w:eastAsia="en-US"/>
        </w:rPr>
        <w:t>Failure to comply with instructions given by the invigilator, ie, working beyond the allocated time; refusing to hand in assessment script / paper when requested; not adhering to warnings relating to conduct during the assessment.</w:t>
      </w:r>
    </w:p>
    <w:p>
      <w:pPr>
        <w:suppressAutoHyphens w:val="0"/>
        <w:autoSpaceDE w:val="0"/>
        <w:autoSpaceDN w:val="0"/>
        <w:adjustRightInd w:val="0"/>
        <w:jc w:val="both"/>
        <w:rPr>
          <w:rFonts w:ascii="Verdana" w:eastAsia="Calibri" w:hAnsi="Verdana" w:cs="Arial"/>
          <w:sz w:val="22"/>
          <w:szCs w:val="22"/>
          <w:lang w:eastAsia="en-US"/>
        </w:rPr>
      </w:pPr>
    </w:p>
    <w:p>
      <w:pPr>
        <w:widowControl w:val="0"/>
        <w:tabs>
          <w:tab w:val="left" w:pos="820"/>
        </w:tabs>
        <w:suppressAutoHyphens w:val="0"/>
        <w:autoSpaceDE w:val="0"/>
        <w:autoSpaceDN w:val="0"/>
        <w:adjustRightInd w:val="0"/>
        <w:spacing w:after="200" w:line="276" w:lineRule="auto"/>
        <w:ind w:left="375" w:right="26"/>
        <w:jc w:val="both"/>
        <w:rPr>
          <w:rFonts w:ascii="Verdana" w:hAnsi="Verdana" w:cs="Calibri"/>
          <w:bCs/>
          <w:color w:val="auto"/>
          <w:spacing w:val="-1"/>
          <w:sz w:val="22"/>
          <w:szCs w:val="22"/>
          <w:u w:val="single"/>
          <w:lang w:val="en-US" w:eastAsia="en-US"/>
        </w:rPr>
      </w:pPr>
      <w:r>
        <w:rPr>
          <w:rFonts w:ascii="Verdana" w:hAnsi="Verdana" w:cs="Calibri"/>
          <w:bCs/>
          <w:color w:val="auto"/>
          <w:sz w:val="22"/>
          <w:szCs w:val="22"/>
          <w:u w:val="single"/>
          <w:lang w:val="en-US" w:eastAsia="en-US"/>
        </w:rPr>
        <w:t>12.2 P</w:t>
      </w:r>
      <w:r>
        <w:rPr>
          <w:rFonts w:ascii="Verdana" w:hAnsi="Verdana" w:cs="Calibri"/>
          <w:bCs/>
          <w:color w:val="auto"/>
          <w:spacing w:val="-1"/>
          <w:sz w:val="22"/>
          <w:szCs w:val="22"/>
          <w:u w:val="single"/>
          <w:lang w:val="en-US" w:eastAsia="en-US"/>
        </w:rPr>
        <w:t>o</w:t>
      </w:r>
      <w:r>
        <w:rPr>
          <w:rFonts w:ascii="Verdana" w:hAnsi="Verdana" w:cs="Calibri"/>
          <w:bCs/>
          <w:color w:val="auto"/>
          <w:sz w:val="22"/>
          <w:szCs w:val="22"/>
          <w:u w:val="single"/>
          <w:lang w:val="en-US" w:eastAsia="en-US"/>
        </w:rPr>
        <w:t>ss</w:t>
      </w:r>
      <w:r>
        <w:rPr>
          <w:rFonts w:ascii="Verdana" w:hAnsi="Verdana" w:cs="Calibri"/>
          <w:bCs/>
          <w:color w:val="auto"/>
          <w:spacing w:val="1"/>
          <w:sz w:val="22"/>
          <w:szCs w:val="22"/>
          <w:u w:val="single"/>
          <w:lang w:val="en-US" w:eastAsia="en-US"/>
        </w:rPr>
        <w:t>i</w:t>
      </w:r>
      <w:r>
        <w:rPr>
          <w:rFonts w:ascii="Verdana" w:hAnsi="Verdana" w:cs="Calibri"/>
          <w:bCs/>
          <w:color w:val="auto"/>
          <w:spacing w:val="-1"/>
          <w:sz w:val="22"/>
          <w:szCs w:val="22"/>
          <w:u w:val="single"/>
          <w:lang w:val="en-US" w:eastAsia="en-US"/>
        </w:rPr>
        <w:t>b</w:t>
      </w:r>
      <w:r>
        <w:rPr>
          <w:rFonts w:ascii="Verdana" w:hAnsi="Verdana" w:cs="Calibri"/>
          <w:bCs/>
          <w:color w:val="auto"/>
          <w:spacing w:val="1"/>
          <w:sz w:val="22"/>
          <w:szCs w:val="22"/>
          <w:u w:val="single"/>
          <w:lang w:val="en-US" w:eastAsia="en-US"/>
        </w:rPr>
        <w:t>l</w:t>
      </w:r>
      <w:r>
        <w:rPr>
          <w:rFonts w:ascii="Verdana" w:hAnsi="Verdana" w:cs="Calibri"/>
          <w:bCs/>
          <w:color w:val="auto"/>
          <w:sz w:val="22"/>
          <w:szCs w:val="22"/>
          <w:u w:val="single"/>
          <w:lang w:val="en-US" w:eastAsia="en-US"/>
        </w:rPr>
        <w:t>e</w:t>
      </w:r>
      <w:r>
        <w:rPr>
          <w:rFonts w:ascii="Verdana" w:hAnsi="Verdana" w:cs="Calibri"/>
          <w:bCs/>
          <w:color w:val="auto"/>
          <w:spacing w:val="-1"/>
          <w:sz w:val="22"/>
          <w:szCs w:val="22"/>
          <w:u w:val="single"/>
          <w:lang w:val="en-US" w:eastAsia="en-US"/>
        </w:rPr>
        <w:t xml:space="preserve"> </w:t>
      </w:r>
      <w:r>
        <w:rPr>
          <w:rFonts w:ascii="Verdana" w:hAnsi="Verdana" w:cs="Calibri"/>
          <w:bCs/>
          <w:color w:val="auto"/>
          <w:sz w:val="22"/>
          <w:szCs w:val="22"/>
          <w:u w:val="single"/>
          <w:lang w:val="en-US" w:eastAsia="en-US"/>
        </w:rPr>
        <w:t>m</w:t>
      </w:r>
      <w:r>
        <w:rPr>
          <w:rFonts w:ascii="Verdana" w:hAnsi="Verdana" w:cs="Calibri"/>
          <w:bCs/>
          <w:color w:val="auto"/>
          <w:spacing w:val="-3"/>
          <w:sz w:val="22"/>
          <w:szCs w:val="22"/>
          <w:u w:val="single"/>
          <w:lang w:val="en-US" w:eastAsia="en-US"/>
        </w:rPr>
        <w:t>a</w:t>
      </w:r>
      <w:r>
        <w:rPr>
          <w:rFonts w:ascii="Verdana" w:hAnsi="Verdana" w:cs="Calibri"/>
          <w:bCs/>
          <w:color w:val="auto"/>
          <w:spacing w:val="1"/>
          <w:sz w:val="22"/>
          <w:szCs w:val="22"/>
          <w:u w:val="single"/>
          <w:lang w:val="en-US" w:eastAsia="en-US"/>
        </w:rPr>
        <w:t>l</w:t>
      </w:r>
      <w:r>
        <w:rPr>
          <w:rFonts w:ascii="Verdana" w:hAnsi="Verdana" w:cs="Calibri"/>
          <w:bCs/>
          <w:color w:val="auto"/>
          <w:spacing w:val="-1"/>
          <w:sz w:val="22"/>
          <w:szCs w:val="22"/>
          <w:u w:val="single"/>
          <w:lang w:val="en-US" w:eastAsia="en-US"/>
        </w:rPr>
        <w:t>p</w:t>
      </w:r>
      <w:r>
        <w:rPr>
          <w:rFonts w:ascii="Verdana" w:hAnsi="Verdana" w:cs="Calibri"/>
          <w:bCs/>
          <w:color w:val="auto"/>
          <w:spacing w:val="1"/>
          <w:sz w:val="22"/>
          <w:szCs w:val="22"/>
          <w:u w:val="single"/>
          <w:lang w:val="en-US" w:eastAsia="en-US"/>
        </w:rPr>
        <w:t>r</w:t>
      </w:r>
      <w:r>
        <w:rPr>
          <w:rFonts w:ascii="Verdana" w:hAnsi="Verdana" w:cs="Calibri"/>
          <w:bCs/>
          <w:color w:val="auto"/>
          <w:sz w:val="22"/>
          <w:szCs w:val="22"/>
          <w:u w:val="single"/>
          <w:lang w:val="en-US" w:eastAsia="en-US"/>
        </w:rPr>
        <w:t>ac</w:t>
      </w:r>
      <w:r>
        <w:rPr>
          <w:rFonts w:ascii="Verdana" w:hAnsi="Verdana" w:cs="Calibri"/>
          <w:bCs/>
          <w:color w:val="auto"/>
          <w:spacing w:val="-3"/>
          <w:sz w:val="22"/>
          <w:szCs w:val="22"/>
          <w:u w:val="single"/>
          <w:lang w:val="en-US" w:eastAsia="en-US"/>
        </w:rPr>
        <w:t>t</w:t>
      </w:r>
      <w:r>
        <w:rPr>
          <w:rFonts w:ascii="Verdana" w:hAnsi="Verdana" w:cs="Calibri"/>
          <w:bCs/>
          <w:color w:val="auto"/>
          <w:spacing w:val="1"/>
          <w:sz w:val="22"/>
          <w:szCs w:val="22"/>
          <w:u w:val="single"/>
          <w:lang w:val="en-US" w:eastAsia="en-US"/>
        </w:rPr>
        <w:t>i</w:t>
      </w:r>
      <w:r>
        <w:rPr>
          <w:rFonts w:ascii="Verdana" w:hAnsi="Verdana" w:cs="Calibri"/>
          <w:bCs/>
          <w:color w:val="auto"/>
          <w:sz w:val="22"/>
          <w:szCs w:val="22"/>
          <w:u w:val="single"/>
          <w:lang w:val="en-US" w:eastAsia="en-US"/>
        </w:rPr>
        <w:t>ce</w:t>
      </w:r>
      <w:r>
        <w:rPr>
          <w:rFonts w:ascii="Verdana" w:hAnsi="Verdana" w:cs="Calibri"/>
          <w:bCs/>
          <w:color w:val="auto"/>
          <w:spacing w:val="1"/>
          <w:sz w:val="22"/>
          <w:szCs w:val="22"/>
          <w:u w:val="single"/>
          <w:lang w:val="en-US" w:eastAsia="en-US"/>
        </w:rPr>
        <w:t xml:space="preserve"> </w:t>
      </w:r>
      <w:r>
        <w:rPr>
          <w:rFonts w:ascii="Verdana" w:hAnsi="Verdana" w:cs="Calibri"/>
          <w:bCs/>
          <w:color w:val="auto"/>
          <w:spacing w:val="-3"/>
          <w:sz w:val="22"/>
          <w:szCs w:val="22"/>
          <w:u w:val="single"/>
          <w:lang w:val="en-US" w:eastAsia="en-US"/>
        </w:rPr>
        <w:t>s</w:t>
      </w:r>
      <w:r>
        <w:rPr>
          <w:rFonts w:ascii="Verdana" w:hAnsi="Verdana" w:cs="Calibri"/>
          <w:bCs/>
          <w:color w:val="auto"/>
          <w:sz w:val="22"/>
          <w:szCs w:val="22"/>
          <w:u w:val="single"/>
          <w:lang w:val="en-US" w:eastAsia="en-US"/>
        </w:rPr>
        <w:t>a</w:t>
      </w:r>
      <w:r>
        <w:rPr>
          <w:rFonts w:ascii="Verdana" w:hAnsi="Verdana" w:cs="Calibri"/>
          <w:bCs/>
          <w:color w:val="auto"/>
          <w:spacing w:val="-1"/>
          <w:sz w:val="22"/>
          <w:szCs w:val="22"/>
          <w:u w:val="single"/>
          <w:lang w:val="en-US" w:eastAsia="en-US"/>
        </w:rPr>
        <w:t>n</w:t>
      </w:r>
      <w:r>
        <w:rPr>
          <w:rFonts w:ascii="Verdana" w:hAnsi="Verdana" w:cs="Calibri"/>
          <w:bCs/>
          <w:color w:val="auto"/>
          <w:sz w:val="22"/>
          <w:szCs w:val="22"/>
          <w:u w:val="single"/>
          <w:lang w:val="en-US" w:eastAsia="en-US"/>
        </w:rPr>
        <w:t>ct</w:t>
      </w:r>
      <w:r>
        <w:rPr>
          <w:rFonts w:ascii="Verdana" w:hAnsi="Verdana" w:cs="Calibri"/>
          <w:bCs/>
          <w:color w:val="auto"/>
          <w:spacing w:val="1"/>
          <w:sz w:val="22"/>
          <w:szCs w:val="22"/>
          <w:u w:val="single"/>
          <w:lang w:val="en-US" w:eastAsia="en-US"/>
        </w:rPr>
        <w:t>i</w:t>
      </w:r>
      <w:r>
        <w:rPr>
          <w:rFonts w:ascii="Verdana" w:hAnsi="Verdana" w:cs="Calibri"/>
          <w:bCs/>
          <w:color w:val="auto"/>
          <w:spacing w:val="-1"/>
          <w:sz w:val="22"/>
          <w:szCs w:val="22"/>
          <w:u w:val="single"/>
          <w:lang w:val="en-US" w:eastAsia="en-US"/>
        </w:rPr>
        <w:t>on</w:t>
      </w:r>
    </w:p>
    <w:p>
      <w:pPr>
        <w:widowControl w:val="0"/>
        <w:tabs>
          <w:tab w:val="left" w:pos="820"/>
        </w:tabs>
        <w:suppressAutoHyphens w:val="0"/>
        <w:autoSpaceDE w:val="0"/>
        <w:autoSpaceDN w:val="0"/>
        <w:adjustRightInd w:val="0"/>
        <w:spacing w:after="200" w:line="276" w:lineRule="auto"/>
        <w:ind w:right="26"/>
        <w:rPr>
          <w:rFonts w:ascii="Verdana" w:hAnsi="Verdana" w:cs="Calibri"/>
          <w:color w:val="auto"/>
          <w:position w:val="-1"/>
          <w:sz w:val="22"/>
          <w:szCs w:val="22"/>
          <w:lang w:val="en-US" w:eastAsia="en-US"/>
        </w:rPr>
      </w:pPr>
      <w:r>
        <w:rPr>
          <w:rFonts w:ascii="Verdana" w:hAnsi="Verdana" w:cs="Calibri"/>
          <w:color w:val="auto"/>
          <w:position w:val="-1"/>
          <w:sz w:val="22"/>
          <w:szCs w:val="22"/>
          <w:lang w:val="en-US" w:eastAsia="en-US"/>
        </w:rPr>
        <w:t>The School will investigate each case of suspected or reported malpractice to ascertain whether malpractice has occurred. The investigation will aim to establish the full facts and circumstances.  We will promptly take all reasonable steps to prevent any adverse effect that may arise as a result of the malpractice and ensure the integrity of the qualification.</w:t>
      </w:r>
    </w:p>
    <w:p>
      <w:pPr>
        <w:widowControl w:val="0"/>
        <w:tabs>
          <w:tab w:val="left" w:pos="820"/>
        </w:tabs>
        <w:suppressAutoHyphens w:val="0"/>
        <w:autoSpaceDE w:val="0"/>
        <w:autoSpaceDN w:val="0"/>
        <w:adjustRightInd w:val="0"/>
        <w:spacing w:after="200" w:line="276" w:lineRule="auto"/>
        <w:ind w:right="26"/>
        <w:jc w:val="both"/>
        <w:rPr>
          <w:rFonts w:ascii="Verdana" w:hAnsi="Verdana" w:cs="Calibri"/>
          <w:color w:val="auto"/>
          <w:spacing w:val="1"/>
          <w:sz w:val="22"/>
          <w:szCs w:val="22"/>
          <w:lang w:val="en-US" w:eastAsia="en-US"/>
        </w:rPr>
      </w:pPr>
      <w:r>
        <w:rPr>
          <w:rFonts w:ascii="Verdana" w:hAnsi="Verdana" w:cs="Calibri"/>
          <w:color w:val="auto"/>
          <w:sz w:val="22"/>
          <w:szCs w:val="22"/>
          <w:lang w:val="en-US" w:eastAsia="en-US"/>
        </w:rPr>
        <w:t>Following an investigation, if</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a</w:t>
      </w:r>
      <w:r>
        <w:rPr>
          <w:rFonts w:ascii="Verdana" w:hAnsi="Verdana" w:cs="Calibri"/>
          <w:color w:val="auto"/>
          <w:spacing w:val="-2"/>
          <w:sz w:val="22"/>
          <w:szCs w:val="22"/>
          <w:lang w:val="en-US" w:eastAsia="en-US"/>
        </w:rPr>
        <w:t xml:space="preserve"> </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o</w:t>
      </w:r>
      <w:r>
        <w:rPr>
          <w:rFonts w:ascii="Verdana" w:hAnsi="Verdana" w:cs="Calibri"/>
          <w:color w:val="auto"/>
          <w:sz w:val="22"/>
          <w:szCs w:val="22"/>
          <w:lang w:val="en-US" w:eastAsia="en-US"/>
        </w:rPr>
        <w:t>f</w:t>
      </w:r>
      <w:r>
        <w:rPr>
          <w:rFonts w:ascii="Verdana" w:hAnsi="Verdana" w:cs="Calibri"/>
          <w:color w:val="auto"/>
          <w:spacing w:val="-2"/>
          <w:sz w:val="22"/>
          <w:szCs w:val="22"/>
          <w:lang w:val="en-US" w:eastAsia="en-US"/>
        </w:rPr>
        <w:t xml:space="preserve"> </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pra</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 xml:space="preserve">e </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s</w:t>
      </w:r>
      <w:r>
        <w:rPr>
          <w:rFonts w:ascii="Verdana" w:hAnsi="Verdana" w:cs="Calibri"/>
          <w:color w:val="auto"/>
          <w:spacing w:val="1"/>
          <w:sz w:val="22"/>
          <w:szCs w:val="22"/>
          <w:lang w:val="en-US" w:eastAsia="en-US"/>
        </w:rPr>
        <w:t xml:space="preserve"> upheld</w:t>
      </w:r>
      <w:r>
        <w:rPr>
          <w:rFonts w:ascii="Verdana" w:hAnsi="Verdana" w:cs="Calibri"/>
          <w:color w:val="auto"/>
          <w:sz w:val="22"/>
          <w:szCs w:val="22"/>
          <w:lang w:val="en-US" w:eastAsia="en-US"/>
        </w:rPr>
        <w:t>, The School</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will impose sanctions or other penalties on the individual(s) concerned. The incident of malpractice will also be reported to the relevant awarding body who may also impose sanctions.</w:t>
      </w:r>
      <w:r>
        <w:rPr>
          <w:rFonts w:ascii="Verdana" w:hAnsi="Verdana" w:cs="Calibri"/>
          <w:color w:val="auto"/>
          <w:spacing w:val="1"/>
          <w:sz w:val="22"/>
          <w:szCs w:val="22"/>
          <w:lang w:val="en-US" w:eastAsia="en-US"/>
        </w:rPr>
        <w:t xml:space="preserve"> A</w:t>
      </w:r>
      <w:r>
        <w:rPr>
          <w:rFonts w:ascii="Verdana" w:hAnsi="Verdana" w:cs="Calibri"/>
          <w:color w:val="auto"/>
          <w:spacing w:val="2"/>
          <w:sz w:val="22"/>
          <w:szCs w:val="22"/>
          <w:lang w:val="en-US" w:eastAsia="en-US"/>
        </w:rPr>
        <w:t>n</w:t>
      </w:r>
      <w:r>
        <w:rPr>
          <w:rFonts w:ascii="Verdana" w:hAnsi="Verdana" w:cs="Calibri"/>
          <w:color w:val="auto"/>
          <w:sz w:val="22"/>
          <w:szCs w:val="22"/>
          <w:lang w:val="en-US" w:eastAsia="en-US"/>
        </w:rPr>
        <w:t>y</w:t>
      </w:r>
      <w:r>
        <w:rPr>
          <w:rFonts w:ascii="Verdana" w:hAnsi="Verdana" w:cs="Calibri"/>
          <w:color w:val="auto"/>
          <w:spacing w:val="-5"/>
          <w:sz w:val="22"/>
          <w:szCs w:val="22"/>
          <w:lang w:val="en-US" w:eastAsia="en-US"/>
        </w:rPr>
        <w:t xml:space="preserve"> </w:t>
      </w:r>
      <w:r>
        <w:rPr>
          <w:rFonts w:ascii="Verdana" w:hAnsi="Verdana" w:cs="Calibri"/>
          <w:color w:val="auto"/>
          <w:spacing w:val="3"/>
          <w:sz w:val="22"/>
          <w:szCs w:val="22"/>
          <w:lang w:val="en-US" w:eastAsia="en-US"/>
        </w:rPr>
        <w:t>s</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n</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 xml:space="preserve">s </w:t>
      </w:r>
      <w:r>
        <w:rPr>
          <w:rFonts w:ascii="Verdana" w:hAnsi="Verdana" w:cs="Calibri"/>
          <w:color w:val="auto"/>
          <w:spacing w:val="-1"/>
          <w:sz w:val="22"/>
          <w:szCs w:val="22"/>
          <w:lang w:val="en-US" w:eastAsia="en-US"/>
        </w:rPr>
        <w:t>i</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p</w:t>
      </w:r>
      <w:r>
        <w:rPr>
          <w:rFonts w:ascii="Verdana" w:hAnsi="Verdana" w:cs="Calibri"/>
          <w:color w:val="auto"/>
          <w:spacing w:val="-1"/>
          <w:sz w:val="22"/>
          <w:szCs w:val="22"/>
          <w:lang w:val="en-US" w:eastAsia="en-US"/>
        </w:rPr>
        <w:t>o</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ed</w:t>
      </w:r>
      <w:r>
        <w:rPr>
          <w:rFonts w:ascii="Verdana" w:hAnsi="Verdana" w:cs="Calibri"/>
          <w:color w:val="auto"/>
          <w:spacing w:val="1"/>
          <w:sz w:val="22"/>
          <w:szCs w:val="22"/>
          <w:lang w:val="en-US" w:eastAsia="en-US"/>
        </w:rPr>
        <w:t xml:space="preserve"> will r</w:t>
      </w:r>
      <w:r>
        <w:rPr>
          <w:rFonts w:ascii="Verdana" w:hAnsi="Verdana" w:cs="Calibri"/>
          <w:color w:val="auto"/>
          <w:sz w:val="22"/>
          <w:szCs w:val="22"/>
          <w:lang w:val="en-US" w:eastAsia="en-US"/>
        </w:rPr>
        <w:t>e</w:t>
      </w:r>
      <w:r>
        <w:rPr>
          <w:rFonts w:ascii="Verdana" w:hAnsi="Verdana" w:cs="Calibri"/>
          <w:color w:val="auto"/>
          <w:spacing w:val="2"/>
          <w:sz w:val="22"/>
          <w:szCs w:val="22"/>
          <w:lang w:val="en-US" w:eastAsia="en-US"/>
        </w:rPr>
        <w:t>f</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h</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ser</w:t>
      </w:r>
      <w:r>
        <w:rPr>
          <w:rFonts w:ascii="Verdana" w:hAnsi="Verdana" w:cs="Calibri"/>
          <w:color w:val="auto"/>
          <w:spacing w:val="2"/>
          <w:sz w:val="22"/>
          <w:szCs w:val="22"/>
          <w:lang w:val="en-US" w:eastAsia="en-US"/>
        </w:rPr>
        <w:t>i</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u</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e</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s</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of</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h</w:t>
      </w:r>
      <w:r>
        <w:rPr>
          <w:rFonts w:ascii="Verdana" w:hAnsi="Verdana" w:cs="Calibri"/>
          <w:color w:val="auto"/>
          <w:sz w:val="22"/>
          <w:szCs w:val="22"/>
          <w:lang w:val="en-US" w:eastAsia="en-US"/>
        </w:rPr>
        <w:t xml:space="preserve">e </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pra</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 xml:space="preserve">e </w:t>
      </w:r>
      <w:r>
        <w:rPr>
          <w:rFonts w:ascii="Verdana" w:hAnsi="Verdana" w:cs="Calibri"/>
          <w:color w:val="auto"/>
          <w:spacing w:val="-1"/>
          <w:sz w:val="22"/>
          <w:szCs w:val="22"/>
          <w:lang w:val="en-US" w:eastAsia="en-US"/>
        </w:rPr>
        <w:t>t</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a</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a</w:t>
      </w:r>
      <w:r>
        <w:rPr>
          <w:rFonts w:ascii="Verdana" w:hAnsi="Verdana" w:cs="Calibri"/>
          <w:color w:val="auto"/>
          <w:sz w:val="22"/>
          <w:szCs w:val="22"/>
          <w:lang w:val="en-US" w:eastAsia="en-US"/>
        </w:rPr>
        <w:t>s oc</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ur</w:t>
      </w:r>
      <w:r>
        <w:rPr>
          <w:rFonts w:ascii="Verdana" w:hAnsi="Verdana" w:cs="Calibri"/>
          <w:color w:val="auto"/>
          <w:spacing w:val="1"/>
          <w:sz w:val="22"/>
          <w:szCs w:val="22"/>
          <w:lang w:val="en-US" w:eastAsia="en-US"/>
        </w:rPr>
        <w:t>r</w:t>
      </w:r>
      <w:r>
        <w:rPr>
          <w:rFonts w:ascii="Verdana" w:hAnsi="Verdana" w:cs="Calibri"/>
          <w:color w:val="auto"/>
          <w:sz w:val="22"/>
          <w:szCs w:val="22"/>
          <w:lang w:val="en-US" w:eastAsia="en-US"/>
        </w:rPr>
        <w:t>ed.</w:t>
      </w:r>
    </w:p>
    <w:p>
      <w:pPr>
        <w:widowControl w:val="0"/>
        <w:suppressAutoHyphens w:val="0"/>
        <w:autoSpaceDE w:val="0"/>
        <w:autoSpaceDN w:val="0"/>
        <w:adjustRightInd w:val="0"/>
        <w:ind w:right="26"/>
        <w:jc w:val="both"/>
        <w:rPr>
          <w:rFonts w:ascii="Verdana" w:hAnsi="Verdana" w:cs="Calibri"/>
          <w:color w:val="auto"/>
          <w:spacing w:val="1"/>
          <w:sz w:val="22"/>
          <w:szCs w:val="22"/>
          <w:lang w:val="en-US" w:eastAsia="en-US"/>
        </w:rPr>
      </w:pPr>
      <w:r>
        <w:rPr>
          <w:rFonts w:ascii="Verdana" w:hAnsi="Verdana" w:cs="Calibri"/>
          <w:color w:val="auto"/>
          <w:spacing w:val="2"/>
          <w:sz w:val="22"/>
          <w:szCs w:val="22"/>
          <w:lang w:val="en-US" w:eastAsia="en-US"/>
        </w:rPr>
        <w:t>Th</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 xml:space="preserve">s </w:t>
      </w:r>
      <w:r>
        <w:rPr>
          <w:rFonts w:ascii="Verdana" w:hAnsi="Verdana" w:cs="Calibri"/>
          <w:color w:val="auto"/>
          <w:spacing w:val="-1"/>
          <w:sz w:val="22"/>
          <w:szCs w:val="22"/>
          <w:lang w:val="en-US" w:eastAsia="en-US"/>
        </w:rPr>
        <w:t>li</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t</w:t>
      </w:r>
      <w:r>
        <w:rPr>
          <w:rFonts w:ascii="Verdana" w:hAnsi="Verdana" w:cs="Calibri"/>
          <w:color w:val="auto"/>
          <w:spacing w:val="2"/>
          <w:sz w:val="22"/>
          <w:szCs w:val="22"/>
          <w:lang w:val="en-US" w:eastAsia="en-US"/>
        </w:rPr>
        <w:t xml:space="preserve"> </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s</w:t>
      </w:r>
      <w:r>
        <w:rPr>
          <w:rFonts w:ascii="Verdana" w:hAnsi="Verdana" w:cs="Calibri"/>
          <w:color w:val="auto"/>
          <w:spacing w:val="3"/>
          <w:sz w:val="22"/>
          <w:szCs w:val="22"/>
          <w:lang w:val="en-US" w:eastAsia="en-US"/>
        </w:rPr>
        <w:t xml:space="preserve"> </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o</w:t>
      </w:r>
      <w:r>
        <w:rPr>
          <w:rFonts w:ascii="Verdana" w:hAnsi="Verdana" w:cs="Calibri"/>
          <w:color w:val="auto"/>
          <w:sz w:val="22"/>
          <w:szCs w:val="22"/>
          <w:lang w:val="en-US" w:eastAsia="en-US"/>
        </w:rPr>
        <w:t>t e</w:t>
      </w:r>
      <w:r>
        <w:rPr>
          <w:rFonts w:ascii="Verdana" w:hAnsi="Verdana" w:cs="Calibri"/>
          <w:color w:val="auto"/>
          <w:spacing w:val="1"/>
          <w:sz w:val="22"/>
          <w:szCs w:val="22"/>
          <w:lang w:val="en-US" w:eastAsia="en-US"/>
        </w:rPr>
        <w:t>x</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a</w:t>
      </w:r>
      <w:r>
        <w:rPr>
          <w:rFonts w:ascii="Verdana" w:hAnsi="Verdana" w:cs="Calibri"/>
          <w:color w:val="auto"/>
          <w:sz w:val="22"/>
          <w:szCs w:val="22"/>
          <w:lang w:val="en-US" w:eastAsia="en-US"/>
        </w:rPr>
        <w:t>u</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v</w:t>
      </w:r>
      <w:r>
        <w:rPr>
          <w:rFonts w:ascii="Verdana" w:hAnsi="Verdana" w:cs="Calibri"/>
          <w:color w:val="auto"/>
          <w:sz w:val="22"/>
          <w:szCs w:val="22"/>
          <w:lang w:val="en-US" w:eastAsia="en-US"/>
        </w:rPr>
        <w:t>e</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 xml:space="preserve"> o</w:t>
      </w:r>
      <w:r>
        <w:rPr>
          <w:rFonts w:ascii="Verdana" w:hAnsi="Verdana" w:cs="Calibri"/>
          <w:color w:val="auto"/>
          <w:spacing w:val="2"/>
          <w:sz w:val="22"/>
          <w:szCs w:val="22"/>
          <w:lang w:val="en-US" w:eastAsia="en-US"/>
        </w:rPr>
        <w:t>t</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 xml:space="preserve">r </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n</w:t>
      </w:r>
      <w:r>
        <w:rPr>
          <w:rFonts w:ascii="Verdana" w:hAnsi="Verdana" w:cs="Calibri"/>
          <w:color w:val="auto"/>
          <w:spacing w:val="1"/>
          <w:sz w:val="22"/>
          <w:szCs w:val="22"/>
          <w:lang w:val="en-US" w:eastAsia="en-US"/>
        </w:rPr>
        <w:t>c</w:t>
      </w:r>
      <w:r>
        <w:rPr>
          <w:rFonts w:ascii="Verdana" w:hAnsi="Verdana" w:cs="Calibri"/>
          <w:color w:val="auto"/>
          <w:spacing w:val="2"/>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 xml:space="preserve">s </w:t>
      </w:r>
      <w:r>
        <w:rPr>
          <w:rFonts w:ascii="Verdana" w:hAnsi="Verdana" w:cs="Calibri"/>
          <w:color w:val="auto"/>
          <w:spacing w:val="4"/>
          <w:sz w:val="22"/>
          <w:szCs w:val="22"/>
          <w:lang w:val="en-US" w:eastAsia="en-US"/>
        </w:rPr>
        <w:t>m</w:t>
      </w:r>
      <w:r>
        <w:rPr>
          <w:rFonts w:ascii="Verdana" w:hAnsi="Verdana" w:cs="Calibri"/>
          <w:color w:val="auto"/>
          <w:spacing w:val="2"/>
          <w:sz w:val="22"/>
          <w:szCs w:val="22"/>
          <w:lang w:val="en-US" w:eastAsia="en-US"/>
        </w:rPr>
        <w:t>a</w:t>
      </w:r>
      <w:r>
        <w:rPr>
          <w:rFonts w:ascii="Verdana" w:hAnsi="Verdana" w:cs="Calibri"/>
          <w:color w:val="auto"/>
          <w:sz w:val="22"/>
          <w:szCs w:val="22"/>
          <w:lang w:val="en-US" w:eastAsia="en-US"/>
        </w:rPr>
        <w:t>y</w:t>
      </w:r>
      <w:r>
        <w:rPr>
          <w:rFonts w:ascii="Verdana" w:hAnsi="Verdana" w:cs="Calibri"/>
          <w:color w:val="auto"/>
          <w:spacing w:val="-8"/>
          <w:sz w:val="22"/>
          <w:szCs w:val="22"/>
          <w:lang w:val="en-US" w:eastAsia="en-US"/>
        </w:rPr>
        <w:t xml:space="preserve"> </w:t>
      </w:r>
      <w:r>
        <w:rPr>
          <w:rFonts w:ascii="Verdana" w:hAnsi="Verdana" w:cs="Calibri"/>
          <w:color w:val="auto"/>
          <w:spacing w:val="2"/>
          <w:sz w:val="22"/>
          <w:szCs w:val="22"/>
          <w:lang w:val="en-US" w:eastAsia="en-US"/>
        </w:rPr>
        <w:t>b</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a</w:t>
      </w:r>
      <w:r>
        <w:rPr>
          <w:rFonts w:ascii="Verdana" w:hAnsi="Verdana" w:cs="Calibri"/>
          <w:color w:val="auto"/>
          <w:sz w:val="22"/>
          <w:szCs w:val="22"/>
          <w:lang w:val="en-US" w:eastAsia="en-US"/>
        </w:rPr>
        <w:t>p</w:t>
      </w:r>
      <w:r>
        <w:rPr>
          <w:rFonts w:ascii="Verdana" w:hAnsi="Verdana" w:cs="Calibri"/>
          <w:color w:val="auto"/>
          <w:spacing w:val="1"/>
          <w:sz w:val="22"/>
          <w:szCs w:val="22"/>
          <w:lang w:val="en-US" w:eastAsia="en-US"/>
        </w:rPr>
        <w:t>p</w:t>
      </w:r>
      <w:r>
        <w:rPr>
          <w:rFonts w:ascii="Verdana" w:hAnsi="Verdana" w:cs="Calibri"/>
          <w:color w:val="auto"/>
          <w:spacing w:val="-1"/>
          <w:sz w:val="22"/>
          <w:szCs w:val="22"/>
          <w:lang w:val="en-US" w:eastAsia="en-US"/>
        </w:rPr>
        <w:t>li</w:t>
      </w:r>
      <w:r>
        <w:rPr>
          <w:rFonts w:ascii="Verdana" w:hAnsi="Verdana" w:cs="Calibri"/>
          <w:color w:val="auto"/>
          <w:spacing w:val="2"/>
          <w:sz w:val="22"/>
          <w:szCs w:val="22"/>
          <w:lang w:val="en-US" w:eastAsia="en-US"/>
        </w:rPr>
        <w:t>e</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o</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a</w:t>
      </w:r>
      <w:r>
        <w:rPr>
          <w:rFonts w:ascii="Verdana" w:hAnsi="Verdana" w:cs="Calibri"/>
          <w:color w:val="auto"/>
          <w:spacing w:val="-2"/>
          <w:sz w:val="22"/>
          <w:szCs w:val="22"/>
          <w:lang w:val="en-US" w:eastAsia="en-US"/>
        </w:rPr>
        <w:t xml:space="preserve"> </w:t>
      </w:r>
      <w:r>
        <w:rPr>
          <w:rFonts w:ascii="Verdana" w:hAnsi="Verdana" w:cs="Calibri"/>
          <w:color w:val="auto"/>
          <w:spacing w:val="1"/>
          <w:sz w:val="22"/>
          <w:szCs w:val="22"/>
          <w:lang w:val="en-US" w:eastAsia="en-US"/>
        </w:rPr>
        <w:t>c</w:t>
      </w:r>
      <w:r>
        <w:rPr>
          <w:rFonts w:ascii="Verdana" w:hAnsi="Verdana" w:cs="Calibri"/>
          <w:color w:val="auto"/>
          <w:spacing w:val="2"/>
          <w:sz w:val="22"/>
          <w:szCs w:val="22"/>
          <w:lang w:val="en-US" w:eastAsia="en-US"/>
        </w:rPr>
        <w:t>a</w:t>
      </w:r>
      <w:r>
        <w:rPr>
          <w:rFonts w:ascii="Verdana" w:hAnsi="Verdana" w:cs="Calibri"/>
          <w:color w:val="auto"/>
          <w:spacing w:val="1"/>
          <w:sz w:val="22"/>
          <w:szCs w:val="22"/>
          <w:lang w:val="en-US" w:eastAsia="en-US"/>
        </w:rPr>
        <w:t>s</w:t>
      </w:r>
      <w:r>
        <w:rPr>
          <w:rFonts w:ascii="Verdana" w:hAnsi="Verdana" w:cs="Calibri"/>
          <w:color w:val="auto"/>
          <w:spacing w:val="5"/>
          <w:sz w:val="22"/>
          <w:szCs w:val="22"/>
          <w:lang w:val="en-US" w:eastAsia="en-US"/>
        </w:rPr>
        <w:t>e</w:t>
      </w:r>
      <w:r>
        <w:rPr>
          <w:rFonts w:ascii="Verdana" w:hAnsi="Verdana" w:cs="Calibri"/>
          <w:color w:val="auto"/>
          <w:spacing w:val="1"/>
          <w:sz w:val="22"/>
          <w:szCs w:val="22"/>
          <w:lang w:val="en-US" w:eastAsia="en-US"/>
        </w:rPr>
        <w:t>-</w:t>
      </w:r>
      <w:r>
        <w:rPr>
          <w:rFonts w:ascii="Verdana" w:hAnsi="Verdana" w:cs="Calibri"/>
          <w:color w:val="auto"/>
          <w:spacing w:val="2"/>
          <w:sz w:val="22"/>
          <w:szCs w:val="22"/>
          <w:lang w:val="en-US" w:eastAsia="en-US"/>
        </w:rPr>
        <w:t>b</w:t>
      </w:r>
      <w:r>
        <w:rPr>
          <w:rFonts w:ascii="Verdana" w:hAnsi="Verdana" w:cs="Calibri"/>
          <w:color w:val="auto"/>
          <w:spacing w:val="-4"/>
          <w:sz w:val="22"/>
          <w:szCs w:val="22"/>
          <w:lang w:val="en-US" w:eastAsia="en-US"/>
        </w:rPr>
        <w:t>y</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b</w:t>
      </w:r>
      <w:r>
        <w:rPr>
          <w:rFonts w:ascii="Verdana" w:hAnsi="Verdana" w:cs="Calibri"/>
          <w:color w:val="auto"/>
          <w:sz w:val="22"/>
          <w:szCs w:val="22"/>
          <w:lang w:val="en-US" w:eastAsia="en-US"/>
        </w:rPr>
        <w:t>a</w:t>
      </w:r>
      <w:r>
        <w:rPr>
          <w:rFonts w:ascii="Verdana" w:hAnsi="Verdana" w:cs="Calibri"/>
          <w:color w:val="auto"/>
          <w:spacing w:val="3"/>
          <w:sz w:val="22"/>
          <w:szCs w:val="22"/>
          <w:lang w:val="en-US" w:eastAsia="en-US"/>
        </w:rPr>
        <w:t>s</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s</w:t>
      </w:r>
    </w:p>
    <w:p>
      <w:pPr>
        <w:widowControl w:val="0"/>
        <w:suppressAutoHyphens w:val="0"/>
        <w:autoSpaceDE w:val="0"/>
        <w:autoSpaceDN w:val="0"/>
        <w:adjustRightInd w:val="0"/>
        <w:ind w:right="26"/>
        <w:jc w:val="both"/>
        <w:rPr>
          <w:rFonts w:ascii="Verdana" w:hAnsi="Verdana" w:cs="Calibri"/>
          <w:color w:val="auto"/>
          <w:spacing w:val="1"/>
          <w:sz w:val="22"/>
          <w:szCs w:val="22"/>
          <w:lang w:val="en-US" w:eastAsia="en-US"/>
        </w:rPr>
      </w:pPr>
    </w:p>
    <w:p>
      <w:pPr>
        <w:widowControl w:val="0"/>
        <w:numPr>
          <w:ilvl w:val="0"/>
          <w:numId w:val="24"/>
        </w:numPr>
        <w:suppressAutoHyphens w:val="0"/>
        <w:autoSpaceDE w:val="0"/>
        <w:autoSpaceDN w:val="0"/>
        <w:adjustRightInd w:val="0"/>
        <w:ind w:right="26"/>
        <w:jc w:val="both"/>
        <w:rPr>
          <w:rFonts w:ascii="Verdana" w:hAnsi="Verdana" w:cs="Calibri"/>
          <w:color w:val="auto"/>
          <w:spacing w:val="1"/>
          <w:sz w:val="22"/>
          <w:szCs w:val="22"/>
          <w:lang w:val="en-US" w:eastAsia="en-US"/>
        </w:rPr>
      </w:pPr>
      <w:r>
        <w:rPr>
          <w:rFonts w:ascii="Verdana" w:hAnsi="Verdana" w:cs="Calibri"/>
          <w:color w:val="auto"/>
          <w:spacing w:val="1"/>
          <w:sz w:val="22"/>
          <w:szCs w:val="22"/>
          <w:lang w:val="en-US" w:eastAsia="en-US"/>
        </w:rPr>
        <w:t>A written warning about future conduct.</w:t>
      </w:r>
    </w:p>
    <w:p>
      <w:pPr>
        <w:numPr>
          <w:ilvl w:val="0"/>
          <w:numId w:val="24"/>
        </w:numPr>
        <w:rPr>
          <w:rFonts w:ascii="Verdana" w:hAnsi="Verdana" w:cs="Calibri"/>
          <w:color w:val="auto"/>
          <w:spacing w:val="1"/>
          <w:sz w:val="22"/>
          <w:szCs w:val="22"/>
          <w:lang w:val="en-US" w:eastAsia="en-US"/>
        </w:rPr>
      </w:pPr>
      <w:r>
        <w:rPr>
          <w:rFonts w:ascii="Verdana" w:hAnsi="Verdana" w:cs="Calibri"/>
          <w:color w:val="auto"/>
          <w:spacing w:val="1"/>
          <w:sz w:val="22"/>
          <w:szCs w:val="22"/>
          <w:lang w:val="en-US" w:eastAsia="en-US"/>
        </w:rPr>
        <w:t>Notification to further education establishment(s), University(s) or future employer(s)</w:t>
      </w:r>
    </w:p>
    <w:p>
      <w:pPr>
        <w:numPr>
          <w:ilvl w:val="0"/>
          <w:numId w:val="24"/>
        </w:numPr>
        <w:rPr>
          <w:rFonts w:ascii="Verdana" w:hAnsi="Verdana" w:cs="Calibri"/>
          <w:color w:val="auto"/>
          <w:spacing w:val="1"/>
          <w:sz w:val="22"/>
          <w:szCs w:val="22"/>
          <w:lang w:val="en-US" w:eastAsia="en-US"/>
        </w:rPr>
      </w:pPr>
      <w:r>
        <w:rPr>
          <w:rFonts w:ascii="Verdana" w:hAnsi="Verdana" w:cs="Calibri"/>
          <w:color w:val="auto"/>
          <w:spacing w:val="1"/>
          <w:sz w:val="22"/>
          <w:szCs w:val="22"/>
          <w:lang w:val="en-US" w:eastAsia="en-US"/>
        </w:rPr>
        <w:t xml:space="preserve">Removal from the course. </w:t>
      </w:r>
    </w:p>
    <w:p>
      <w:pPr>
        <w:widowControl w:val="0"/>
        <w:numPr>
          <w:ilvl w:val="0"/>
          <w:numId w:val="24"/>
        </w:numPr>
        <w:suppressAutoHyphens w:val="0"/>
        <w:autoSpaceDE w:val="0"/>
        <w:autoSpaceDN w:val="0"/>
        <w:adjustRightInd w:val="0"/>
        <w:ind w:right="26"/>
        <w:jc w:val="both"/>
        <w:rPr>
          <w:rFonts w:ascii="Verdana" w:hAnsi="Verdana" w:cs="Calibri"/>
          <w:color w:val="auto"/>
          <w:spacing w:val="1"/>
          <w:sz w:val="22"/>
          <w:szCs w:val="22"/>
          <w:lang w:val="en-US" w:eastAsia="en-US"/>
        </w:rPr>
      </w:pPr>
      <w:r>
        <w:rPr>
          <w:rFonts w:ascii="Verdana" w:hAnsi="Verdana" w:cs="Calibri"/>
          <w:color w:val="auto"/>
          <w:spacing w:val="1"/>
          <w:sz w:val="22"/>
          <w:szCs w:val="22"/>
          <w:lang w:val="en-US" w:eastAsia="en-US"/>
        </w:rPr>
        <w:t>Removal from all courses for a fixed period of time</w:t>
      </w:r>
    </w:p>
    <w:p>
      <w:pPr>
        <w:widowControl w:val="0"/>
        <w:suppressAutoHyphens w:val="0"/>
        <w:autoSpaceDE w:val="0"/>
        <w:autoSpaceDN w:val="0"/>
        <w:adjustRightInd w:val="0"/>
        <w:ind w:right="26"/>
        <w:jc w:val="both"/>
        <w:rPr>
          <w:rFonts w:ascii="Verdana" w:hAnsi="Verdana" w:cs="Calibri"/>
          <w:color w:val="auto"/>
          <w:spacing w:val="1"/>
          <w:sz w:val="22"/>
          <w:szCs w:val="22"/>
          <w:lang w:val="en-US" w:eastAsia="en-US"/>
        </w:rPr>
      </w:pPr>
    </w:p>
    <w:p>
      <w:pPr>
        <w:widowControl w:val="0"/>
        <w:suppressAutoHyphens w:val="0"/>
        <w:autoSpaceDE w:val="0"/>
        <w:autoSpaceDN w:val="0"/>
        <w:adjustRightInd w:val="0"/>
        <w:ind w:right="26"/>
        <w:jc w:val="both"/>
        <w:rPr>
          <w:rFonts w:ascii="Verdana" w:hAnsi="Verdana" w:cs="Calibri"/>
          <w:color w:val="auto"/>
          <w:spacing w:val="1"/>
          <w:sz w:val="22"/>
          <w:szCs w:val="22"/>
          <w:lang w:val="en-US" w:eastAsia="en-US"/>
        </w:rPr>
      </w:pPr>
    </w:p>
    <w:p>
      <w:pPr>
        <w:widowControl w:val="0"/>
        <w:tabs>
          <w:tab w:val="left" w:pos="851"/>
        </w:tabs>
        <w:suppressAutoHyphens w:val="0"/>
        <w:autoSpaceDE w:val="0"/>
        <w:autoSpaceDN w:val="0"/>
        <w:adjustRightInd w:val="0"/>
        <w:spacing w:after="200" w:line="276" w:lineRule="auto"/>
        <w:ind w:right="28"/>
        <w:rPr>
          <w:rFonts w:ascii="Verdana" w:hAnsi="Verdana" w:cs="Calibri"/>
          <w:color w:val="auto"/>
          <w:spacing w:val="2"/>
          <w:sz w:val="22"/>
          <w:szCs w:val="22"/>
          <w:lang w:val="en-US" w:eastAsia="en-US"/>
        </w:rPr>
      </w:pPr>
      <w:r>
        <w:rPr>
          <w:rFonts w:ascii="Verdana" w:hAnsi="Verdana" w:cs="Calibri"/>
          <w:color w:val="auto"/>
          <w:spacing w:val="3"/>
          <w:sz w:val="22"/>
          <w:szCs w:val="22"/>
          <w:lang w:val="en-US" w:eastAsia="en-US"/>
        </w:rPr>
        <w:t>T</w:t>
      </w:r>
      <w:r>
        <w:rPr>
          <w:rFonts w:ascii="Verdana" w:hAnsi="Verdana" w:cs="Calibri"/>
          <w:color w:val="auto"/>
          <w:sz w:val="22"/>
          <w:szCs w:val="22"/>
          <w:lang w:val="en-US" w:eastAsia="en-US"/>
        </w:rPr>
        <w:t>he</w:t>
      </w:r>
      <w:r>
        <w:rPr>
          <w:rFonts w:ascii="Verdana" w:hAnsi="Verdana" w:cs="Calibri"/>
          <w:color w:val="auto"/>
          <w:spacing w:val="-2"/>
          <w:sz w:val="22"/>
          <w:szCs w:val="22"/>
          <w:lang w:val="en-US" w:eastAsia="en-US"/>
        </w:rPr>
        <w:t xml:space="preserve"> individual </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a</w:t>
      </w:r>
      <w:r>
        <w:rPr>
          <w:rFonts w:ascii="Verdana" w:hAnsi="Verdana" w:cs="Calibri"/>
          <w:color w:val="auto"/>
          <w:sz w:val="22"/>
          <w:szCs w:val="22"/>
          <w:lang w:val="en-US" w:eastAsia="en-US"/>
        </w:rPr>
        <w:t>s a</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r</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g</w:t>
      </w:r>
      <w:r>
        <w:rPr>
          <w:rFonts w:ascii="Verdana" w:hAnsi="Verdana" w:cs="Calibri"/>
          <w:color w:val="auto"/>
          <w:spacing w:val="-1"/>
          <w:sz w:val="22"/>
          <w:szCs w:val="22"/>
          <w:lang w:val="en-US" w:eastAsia="en-US"/>
        </w:rPr>
        <w:t>h</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to</w:t>
      </w:r>
      <w:r>
        <w:rPr>
          <w:rFonts w:ascii="Verdana" w:hAnsi="Verdana" w:cs="Calibri"/>
          <w:color w:val="auto"/>
          <w:spacing w:val="-3"/>
          <w:sz w:val="22"/>
          <w:szCs w:val="22"/>
          <w:lang w:val="en-US" w:eastAsia="en-US"/>
        </w:rPr>
        <w:t xml:space="preserve"> </w:t>
      </w:r>
      <w:r>
        <w:rPr>
          <w:rFonts w:ascii="Verdana" w:hAnsi="Verdana" w:cs="Calibri"/>
          <w:color w:val="auto"/>
          <w:spacing w:val="2"/>
          <w:sz w:val="22"/>
          <w:szCs w:val="22"/>
          <w:lang w:val="en-US" w:eastAsia="en-US"/>
        </w:rPr>
        <w:t>a</w:t>
      </w:r>
      <w:r>
        <w:rPr>
          <w:rFonts w:ascii="Verdana" w:hAnsi="Verdana" w:cs="Calibri"/>
          <w:color w:val="auto"/>
          <w:sz w:val="22"/>
          <w:szCs w:val="22"/>
          <w:lang w:val="en-US" w:eastAsia="en-US"/>
        </w:rPr>
        <w:t>p</w:t>
      </w:r>
      <w:r>
        <w:rPr>
          <w:rFonts w:ascii="Verdana" w:hAnsi="Verdana" w:cs="Calibri"/>
          <w:color w:val="auto"/>
          <w:spacing w:val="-1"/>
          <w:sz w:val="22"/>
          <w:szCs w:val="22"/>
          <w:lang w:val="en-US" w:eastAsia="en-US"/>
        </w:rPr>
        <w:t>p</w:t>
      </w:r>
      <w:r>
        <w:rPr>
          <w:rFonts w:ascii="Verdana" w:hAnsi="Verdana" w:cs="Calibri"/>
          <w:color w:val="auto"/>
          <w:spacing w:val="2"/>
          <w:sz w:val="22"/>
          <w:szCs w:val="22"/>
          <w:lang w:val="en-US" w:eastAsia="en-US"/>
        </w:rPr>
        <w:t>e</w:t>
      </w:r>
      <w:r>
        <w:rPr>
          <w:rFonts w:ascii="Verdana" w:hAnsi="Verdana" w:cs="Calibri"/>
          <w:color w:val="auto"/>
          <w:sz w:val="22"/>
          <w:szCs w:val="22"/>
          <w:lang w:val="en-US" w:eastAsia="en-US"/>
        </w:rPr>
        <w:t>al a</w:t>
      </w:r>
      <w:r>
        <w:rPr>
          <w:rFonts w:ascii="Verdana" w:hAnsi="Verdana" w:cs="Calibri"/>
          <w:color w:val="auto"/>
          <w:spacing w:val="1"/>
          <w:sz w:val="22"/>
          <w:szCs w:val="22"/>
          <w:lang w:val="en-US" w:eastAsia="en-US"/>
        </w:rPr>
        <w:t>g</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m</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pra</w:t>
      </w:r>
      <w:r>
        <w:rPr>
          <w:rFonts w:ascii="Verdana" w:hAnsi="Verdana" w:cs="Calibri"/>
          <w:color w:val="auto"/>
          <w:spacing w:val="1"/>
          <w:sz w:val="22"/>
          <w:szCs w:val="22"/>
          <w:lang w:val="en-US" w:eastAsia="en-US"/>
        </w:rPr>
        <w:t>c</w:t>
      </w:r>
      <w:r>
        <w:rPr>
          <w:rFonts w:ascii="Verdana" w:hAnsi="Verdana" w:cs="Calibri"/>
          <w:color w:val="auto"/>
          <w:spacing w:val="2"/>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e</w:t>
      </w:r>
      <w:r>
        <w:rPr>
          <w:rFonts w:ascii="Verdana" w:hAnsi="Verdana" w:cs="Calibri"/>
          <w:color w:val="auto"/>
          <w:spacing w:val="-2"/>
          <w:sz w:val="22"/>
          <w:szCs w:val="22"/>
          <w:lang w:val="en-US" w:eastAsia="en-US"/>
        </w:rPr>
        <w:t xml:space="preserve"> </w:t>
      </w:r>
      <w:r>
        <w:rPr>
          <w:rFonts w:ascii="Verdana" w:hAnsi="Verdana" w:cs="Calibri"/>
          <w:color w:val="auto"/>
          <w:spacing w:val="1"/>
          <w:sz w:val="22"/>
          <w:szCs w:val="22"/>
          <w:lang w:val="en-US" w:eastAsia="en-US"/>
        </w:rPr>
        <w:t>o</w:t>
      </w:r>
      <w:r>
        <w:rPr>
          <w:rFonts w:ascii="Verdana" w:hAnsi="Verdana" w:cs="Calibri"/>
          <w:color w:val="auto"/>
          <w:sz w:val="22"/>
          <w:szCs w:val="22"/>
          <w:lang w:val="en-US" w:eastAsia="en-US"/>
        </w:rPr>
        <w:t>utco</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b/>
          <w:bCs/>
          <w:i/>
          <w:iCs/>
          <w:color w:val="auto"/>
          <w:sz w:val="22"/>
          <w:szCs w:val="22"/>
          <w:lang w:val="en-US" w:eastAsia="en-US"/>
        </w:rPr>
        <w:t xml:space="preserve"> </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f</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h</w:t>
      </w:r>
      <w:r>
        <w:rPr>
          <w:rFonts w:ascii="Verdana" w:hAnsi="Verdana" w:cs="Calibri"/>
          <w:color w:val="auto"/>
          <w:spacing w:val="2"/>
          <w:sz w:val="22"/>
          <w:szCs w:val="22"/>
          <w:lang w:val="en-US" w:eastAsia="en-US"/>
        </w:rPr>
        <w:t>e</w:t>
      </w:r>
      <w:r>
        <w:rPr>
          <w:rFonts w:ascii="Verdana" w:hAnsi="Verdana" w:cs="Calibri"/>
          <w:color w:val="auto"/>
          <w:sz w:val="22"/>
          <w:szCs w:val="22"/>
          <w:lang w:val="en-US" w:eastAsia="en-US"/>
        </w:rPr>
        <w:t>y</w:t>
      </w:r>
      <w:r>
        <w:rPr>
          <w:rFonts w:ascii="Verdana" w:hAnsi="Verdana" w:cs="Calibri"/>
          <w:color w:val="auto"/>
          <w:spacing w:val="-3"/>
          <w:sz w:val="22"/>
          <w:szCs w:val="22"/>
          <w:lang w:val="en-US" w:eastAsia="en-US"/>
        </w:rPr>
        <w:t xml:space="preserve"> </w:t>
      </w:r>
      <w:r>
        <w:rPr>
          <w:rFonts w:ascii="Verdana" w:hAnsi="Verdana" w:cs="Calibri"/>
          <w:color w:val="auto"/>
          <w:sz w:val="22"/>
          <w:szCs w:val="22"/>
          <w:lang w:val="en-US" w:eastAsia="en-US"/>
        </w:rPr>
        <w:t>b</w:t>
      </w:r>
      <w:r>
        <w:rPr>
          <w:rFonts w:ascii="Verdana" w:hAnsi="Verdana" w:cs="Calibri"/>
          <w:color w:val="auto"/>
          <w:spacing w:val="1"/>
          <w:sz w:val="22"/>
          <w:szCs w:val="22"/>
          <w:lang w:val="en-US" w:eastAsia="en-US"/>
        </w:rPr>
        <w:t>e</w:t>
      </w:r>
      <w:r>
        <w:rPr>
          <w:rFonts w:ascii="Verdana" w:hAnsi="Verdana" w:cs="Calibri"/>
          <w:color w:val="auto"/>
          <w:spacing w:val="-1"/>
          <w:sz w:val="22"/>
          <w:szCs w:val="22"/>
          <w:lang w:val="en-US" w:eastAsia="en-US"/>
        </w:rPr>
        <w:t>l</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v</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t</w:t>
      </w:r>
      <w:r>
        <w:rPr>
          <w:rFonts w:ascii="Verdana" w:hAnsi="Verdana" w:cs="Calibri"/>
          <w:color w:val="auto"/>
          <w:spacing w:val="2"/>
          <w:sz w:val="22"/>
          <w:szCs w:val="22"/>
          <w:lang w:val="en-US" w:eastAsia="en-US"/>
        </w:rPr>
        <w:t>h</w:t>
      </w:r>
      <w:r>
        <w:rPr>
          <w:rFonts w:ascii="Verdana" w:hAnsi="Verdana" w:cs="Calibri"/>
          <w:color w:val="auto"/>
          <w:sz w:val="22"/>
          <w:szCs w:val="22"/>
          <w:lang w:val="en-US" w:eastAsia="en-US"/>
        </w:rPr>
        <w:t>at</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t</w:t>
      </w:r>
      <w:r>
        <w:rPr>
          <w:rFonts w:ascii="Verdana" w:hAnsi="Verdana" w:cs="Calibri"/>
          <w:color w:val="auto"/>
          <w:spacing w:val="2"/>
          <w:sz w:val="22"/>
          <w:szCs w:val="22"/>
          <w:lang w:val="en-US" w:eastAsia="en-US"/>
        </w:rPr>
        <w:t>h</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p</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l</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y</w:t>
      </w:r>
      <w:r>
        <w:rPr>
          <w:rFonts w:ascii="Verdana" w:hAnsi="Verdana" w:cs="Calibri"/>
          <w:color w:val="auto"/>
          <w:spacing w:val="-3"/>
          <w:sz w:val="22"/>
          <w:szCs w:val="22"/>
          <w:lang w:val="en-US" w:eastAsia="en-US"/>
        </w:rPr>
        <w:t xml:space="preserve"> </w:t>
      </w:r>
      <w:r>
        <w:rPr>
          <w:rFonts w:ascii="Verdana" w:hAnsi="Verdana" w:cs="Calibri"/>
          <w:color w:val="auto"/>
          <w:sz w:val="22"/>
          <w:szCs w:val="22"/>
          <w:lang w:val="en-US" w:eastAsia="en-US"/>
        </w:rPr>
        <w:t>or</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p</w:t>
      </w:r>
      <w:r>
        <w:rPr>
          <w:rFonts w:ascii="Verdana" w:hAnsi="Verdana" w:cs="Calibri"/>
          <w:color w:val="auto"/>
          <w:spacing w:val="3"/>
          <w:sz w:val="22"/>
          <w:szCs w:val="22"/>
          <w:lang w:val="en-US" w:eastAsia="en-US"/>
        </w:rPr>
        <w:t>r</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d</w:t>
      </w:r>
      <w:r>
        <w:rPr>
          <w:rFonts w:ascii="Verdana" w:hAnsi="Verdana" w:cs="Calibri"/>
          <w:color w:val="auto"/>
          <w:sz w:val="22"/>
          <w:szCs w:val="22"/>
          <w:lang w:val="en-US" w:eastAsia="en-US"/>
        </w:rPr>
        <w:t>ure</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h</w:t>
      </w:r>
      <w:r>
        <w:rPr>
          <w:rFonts w:ascii="Verdana" w:hAnsi="Verdana" w:cs="Calibri"/>
          <w:color w:val="auto"/>
          <w:spacing w:val="-1"/>
          <w:sz w:val="22"/>
          <w:szCs w:val="22"/>
          <w:lang w:val="en-US" w:eastAsia="en-US"/>
        </w:rPr>
        <w:t>a</w:t>
      </w:r>
      <w:r>
        <w:rPr>
          <w:rFonts w:ascii="Verdana" w:hAnsi="Verdana" w:cs="Calibri"/>
          <w:color w:val="auto"/>
          <w:sz w:val="22"/>
          <w:szCs w:val="22"/>
          <w:lang w:val="en-US" w:eastAsia="en-US"/>
        </w:rPr>
        <w:t xml:space="preserve">s </w:t>
      </w:r>
      <w:r>
        <w:rPr>
          <w:rFonts w:ascii="Verdana" w:hAnsi="Verdana" w:cs="Calibri"/>
          <w:color w:val="auto"/>
          <w:spacing w:val="2"/>
          <w:sz w:val="22"/>
          <w:szCs w:val="22"/>
          <w:lang w:val="en-US" w:eastAsia="en-US"/>
        </w:rPr>
        <w:t>n</w:t>
      </w:r>
      <w:r>
        <w:rPr>
          <w:rFonts w:ascii="Verdana" w:hAnsi="Verdana" w:cs="Calibri"/>
          <w:color w:val="auto"/>
          <w:sz w:val="22"/>
          <w:szCs w:val="22"/>
          <w:lang w:val="en-US" w:eastAsia="en-US"/>
        </w:rPr>
        <w:t>ot</w:t>
      </w:r>
      <w:r>
        <w:rPr>
          <w:rFonts w:ascii="Verdana" w:hAnsi="Verdana" w:cs="Calibri"/>
          <w:color w:val="auto"/>
          <w:spacing w:val="-2"/>
          <w:sz w:val="22"/>
          <w:szCs w:val="22"/>
          <w:lang w:val="en-US" w:eastAsia="en-US"/>
        </w:rPr>
        <w:t xml:space="preserve"> </w:t>
      </w:r>
      <w:r>
        <w:rPr>
          <w:rFonts w:ascii="Verdana" w:hAnsi="Verdana" w:cs="Calibri"/>
          <w:color w:val="auto"/>
          <w:spacing w:val="2"/>
          <w:sz w:val="22"/>
          <w:szCs w:val="22"/>
          <w:lang w:val="en-US" w:eastAsia="en-US"/>
        </w:rPr>
        <w:t>b</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n</w:t>
      </w:r>
      <w:r>
        <w:rPr>
          <w:rFonts w:ascii="Verdana" w:hAnsi="Verdana" w:cs="Calibri"/>
          <w:color w:val="auto"/>
          <w:spacing w:val="-1"/>
          <w:sz w:val="22"/>
          <w:szCs w:val="22"/>
          <w:lang w:val="en-US" w:eastAsia="en-US"/>
        </w:rPr>
        <w:t xml:space="preserve"> </w:t>
      </w:r>
      <w:r>
        <w:rPr>
          <w:rFonts w:ascii="Verdana" w:hAnsi="Verdana" w:cs="Calibri"/>
          <w:color w:val="auto"/>
          <w:spacing w:val="1"/>
          <w:sz w:val="22"/>
          <w:szCs w:val="22"/>
          <w:lang w:val="en-US" w:eastAsia="en-US"/>
        </w:rPr>
        <w:t>f</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ll</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wed pro</w:t>
      </w:r>
      <w:r>
        <w:rPr>
          <w:rFonts w:ascii="Verdana" w:hAnsi="Verdana" w:cs="Calibri"/>
          <w:color w:val="auto"/>
          <w:spacing w:val="2"/>
          <w:sz w:val="22"/>
          <w:szCs w:val="22"/>
          <w:lang w:val="en-US" w:eastAsia="en-US"/>
        </w:rPr>
        <w:t>p</w:t>
      </w:r>
      <w:r>
        <w:rPr>
          <w:rFonts w:ascii="Verdana" w:hAnsi="Verdana" w:cs="Calibri"/>
          <w:color w:val="auto"/>
          <w:sz w:val="22"/>
          <w:szCs w:val="22"/>
          <w:lang w:val="en-US" w:eastAsia="en-US"/>
        </w:rPr>
        <w:t>er</w:t>
      </w:r>
      <w:r>
        <w:rPr>
          <w:rFonts w:ascii="Verdana" w:hAnsi="Verdana" w:cs="Calibri"/>
          <w:color w:val="auto"/>
          <w:spacing w:val="4"/>
          <w:sz w:val="22"/>
          <w:szCs w:val="22"/>
          <w:lang w:val="en-US" w:eastAsia="en-US"/>
        </w:rPr>
        <w:t>l</w:t>
      </w:r>
      <w:r>
        <w:rPr>
          <w:rFonts w:ascii="Verdana" w:hAnsi="Verdana" w:cs="Calibri"/>
          <w:color w:val="auto"/>
          <w:sz w:val="22"/>
          <w:szCs w:val="22"/>
          <w:lang w:val="en-US" w:eastAsia="en-US"/>
        </w:rPr>
        <w:t>y</w:t>
      </w:r>
      <w:r>
        <w:rPr>
          <w:rFonts w:ascii="Verdana" w:hAnsi="Verdana" w:cs="Calibri"/>
          <w:color w:val="auto"/>
          <w:spacing w:val="-7"/>
          <w:sz w:val="22"/>
          <w:szCs w:val="22"/>
          <w:lang w:val="en-US" w:eastAsia="en-US"/>
        </w:rPr>
        <w:t xml:space="preserve"> </w:t>
      </w:r>
      <w:r>
        <w:rPr>
          <w:rFonts w:ascii="Verdana" w:hAnsi="Verdana" w:cs="Calibri"/>
          <w:color w:val="auto"/>
          <w:sz w:val="22"/>
          <w:szCs w:val="22"/>
          <w:lang w:val="en-US" w:eastAsia="en-US"/>
        </w:rPr>
        <w:t>or</w:t>
      </w:r>
      <w:r>
        <w:rPr>
          <w:rFonts w:ascii="Verdana" w:hAnsi="Verdana" w:cs="Calibri"/>
          <w:color w:val="auto"/>
          <w:spacing w:val="-2"/>
          <w:sz w:val="22"/>
          <w:szCs w:val="22"/>
          <w:lang w:val="en-US" w:eastAsia="en-US"/>
        </w:rPr>
        <w:t xml:space="preserve"> </w:t>
      </w:r>
      <w:r>
        <w:rPr>
          <w:rFonts w:ascii="Verdana" w:hAnsi="Verdana" w:cs="Calibri"/>
          <w:color w:val="auto"/>
          <w:spacing w:val="2"/>
          <w:sz w:val="22"/>
          <w:szCs w:val="22"/>
          <w:lang w:val="en-US" w:eastAsia="en-US"/>
        </w:rPr>
        <w:t>h</w:t>
      </w:r>
      <w:r>
        <w:rPr>
          <w:rFonts w:ascii="Verdana" w:hAnsi="Verdana" w:cs="Calibri"/>
          <w:color w:val="auto"/>
          <w:sz w:val="22"/>
          <w:szCs w:val="22"/>
          <w:lang w:val="en-US" w:eastAsia="en-US"/>
        </w:rPr>
        <w:t xml:space="preserve">as </w:t>
      </w:r>
      <w:r>
        <w:rPr>
          <w:rFonts w:ascii="Verdana" w:hAnsi="Verdana" w:cs="Calibri"/>
          <w:color w:val="auto"/>
          <w:spacing w:val="7"/>
          <w:sz w:val="22"/>
          <w:szCs w:val="22"/>
          <w:lang w:val="en-US" w:eastAsia="en-US"/>
        </w:rPr>
        <w:t>b</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 xml:space="preserve">n </w:t>
      </w:r>
      <w:r>
        <w:rPr>
          <w:rFonts w:ascii="Verdana" w:hAnsi="Verdana" w:cs="Calibri"/>
          <w:color w:val="auto"/>
          <w:spacing w:val="-1"/>
          <w:sz w:val="22"/>
          <w:szCs w:val="22"/>
          <w:lang w:val="en-US" w:eastAsia="en-US"/>
        </w:rPr>
        <w:t>i</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p</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e</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ted</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to</w:t>
      </w:r>
      <w:r>
        <w:rPr>
          <w:rFonts w:ascii="Verdana" w:hAnsi="Verdana" w:cs="Calibri"/>
          <w:color w:val="auto"/>
          <w:spacing w:val="-3"/>
          <w:sz w:val="22"/>
          <w:szCs w:val="22"/>
          <w:lang w:val="en-US" w:eastAsia="en-US"/>
        </w:rPr>
        <w:t xml:space="preserve"> </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h</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r</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e</w:t>
      </w:r>
      <w:r>
        <w:rPr>
          <w:rFonts w:ascii="Verdana" w:hAnsi="Verdana" w:cs="Calibri"/>
          <w:color w:val="auto"/>
          <w:sz w:val="22"/>
          <w:szCs w:val="22"/>
          <w:lang w:val="en-US" w:eastAsia="en-US"/>
        </w:rPr>
        <w:t>tr</w:t>
      </w:r>
      <w:r>
        <w:rPr>
          <w:rFonts w:ascii="Verdana" w:hAnsi="Verdana" w:cs="Calibri"/>
          <w:color w:val="auto"/>
          <w:spacing w:val="-1"/>
          <w:sz w:val="22"/>
          <w:szCs w:val="22"/>
          <w:lang w:val="en-US" w:eastAsia="en-US"/>
        </w:rPr>
        <w:t>i</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n</w:t>
      </w:r>
      <w:r>
        <w:rPr>
          <w:rFonts w:ascii="Verdana" w:hAnsi="Verdana" w:cs="Calibri"/>
          <w:color w:val="auto"/>
          <w:spacing w:val="2"/>
          <w:sz w:val="22"/>
          <w:szCs w:val="22"/>
          <w:lang w:val="en-US" w:eastAsia="en-US"/>
        </w:rPr>
        <w:t>t</w:t>
      </w:r>
      <w:r>
        <w:rPr>
          <w:rFonts w:ascii="Verdana" w:hAnsi="Verdana" w:cs="Calibri"/>
          <w:color w:val="auto"/>
          <w:sz w:val="22"/>
          <w:szCs w:val="22"/>
          <w:lang w:val="en-US" w:eastAsia="en-US"/>
        </w:rPr>
        <w:t>.  Re</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ords</w:t>
      </w:r>
      <w:r>
        <w:rPr>
          <w:rFonts w:ascii="Verdana" w:hAnsi="Verdana" w:cs="Calibri"/>
          <w:color w:val="auto"/>
          <w:spacing w:val="-2"/>
          <w:sz w:val="22"/>
          <w:szCs w:val="22"/>
          <w:lang w:val="en-US" w:eastAsia="en-US"/>
        </w:rPr>
        <w:t xml:space="preserve"> </w:t>
      </w:r>
      <w:r>
        <w:rPr>
          <w:rFonts w:ascii="Verdana" w:hAnsi="Verdana" w:cs="Calibri"/>
          <w:color w:val="auto"/>
          <w:sz w:val="22"/>
          <w:szCs w:val="22"/>
          <w:lang w:val="en-US" w:eastAsia="en-US"/>
        </w:rPr>
        <w:t>of</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l</w:t>
      </w:r>
      <w:r>
        <w:rPr>
          <w:rFonts w:ascii="Verdana" w:hAnsi="Verdana" w:cs="Calibri"/>
          <w:color w:val="auto"/>
          <w:spacing w:val="-1"/>
          <w:sz w:val="22"/>
          <w:szCs w:val="22"/>
          <w:lang w:val="en-US" w:eastAsia="en-US"/>
        </w:rPr>
        <w:t xml:space="preserve"> </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l</w:t>
      </w:r>
      <w:r>
        <w:rPr>
          <w:rFonts w:ascii="Verdana" w:hAnsi="Verdana" w:cs="Calibri"/>
          <w:color w:val="auto"/>
          <w:sz w:val="22"/>
          <w:szCs w:val="22"/>
          <w:lang w:val="en-US" w:eastAsia="en-US"/>
        </w:rPr>
        <w:t>pra</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c</w:t>
      </w:r>
      <w:r>
        <w:rPr>
          <w:rFonts w:ascii="Verdana" w:hAnsi="Verdana" w:cs="Calibri"/>
          <w:color w:val="auto"/>
          <w:sz w:val="22"/>
          <w:szCs w:val="22"/>
          <w:lang w:val="en-US" w:eastAsia="en-US"/>
        </w:rPr>
        <w:t>e cases</w:t>
      </w:r>
      <w:r>
        <w:rPr>
          <w:rFonts w:ascii="Verdana" w:hAnsi="Verdana" w:cs="Calibri"/>
          <w:color w:val="auto"/>
          <w:spacing w:val="5"/>
          <w:sz w:val="22"/>
          <w:szCs w:val="22"/>
          <w:lang w:val="en-US" w:eastAsia="en-US"/>
        </w:rPr>
        <w:t xml:space="preserve"> </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n</w:t>
      </w:r>
      <w:r>
        <w:rPr>
          <w:rFonts w:ascii="Verdana" w:hAnsi="Verdana" w:cs="Calibri"/>
          <w:color w:val="auto"/>
          <w:sz w:val="22"/>
          <w:szCs w:val="22"/>
          <w:lang w:val="en-US" w:eastAsia="en-US"/>
        </w:rPr>
        <w:t>d</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th</w:t>
      </w:r>
      <w:r>
        <w:rPr>
          <w:rFonts w:ascii="Verdana" w:hAnsi="Verdana" w:cs="Calibri"/>
          <w:color w:val="auto"/>
          <w:spacing w:val="1"/>
          <w:sz w:val="22"/>
          <w:szCs w:val="22"/>
          <w:lang w:val="en-US" w:eastAsia="en-US"/>
        </w:rPr>
        <w:t>e</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r</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o</w:t>
      </w:r>
      <w:r>
        <w:rPr>
          <w:rFonts w:ascii="Verdana" w:hAnsi="Verdana" w:cs="Calibri"/>
          <w:color w:val="auto"/>
          <w:spacing w:val="1"/>
          <w:sz w:val="22"/>
          <w:szCs w:val="22"/>
          <w:lang w:val="en-US" w:eastAsia="en-US"/>
        </w:rPr>
        <w:t>u</w:t>
      </w:r>
      <w:r>
        <w:rPr>
          <w:rFonts w:ascii="Verdana" w:hAnsi="Verdana" w:cs="Calibri"/>
          <w:color w:val="auto"/>
          <w:sz w:val="22"/>
          <w:szCs w:val="22"/>
          <w:lang w:val="en-US" w:eastAsia="en-US"/>
        </w:rPr>
        <w:t>t</w:t>
      </w:r>
      <w:r>
        <w:rPr>
          <w:rFonts w:ascii="Verdana" w:hAnsi="Verdana" w:cs="Calibri"/>
          <w:color w:val="auto"/>
          <w:spacing w:val="1"/>
          <w:sz w:val="22"/>
          <w:szCs w:val="22"/>
          <w:lang w:val="en-US" w:eastAsia="en-US"/>
        </w:rPr>
        <w:t>c</w:t>
      </w:r>
      <w:r>
        <w:rPr>
          <w:rFonts w:ascii="Verdana" w:hAnsi="Verdana" w:cs="Calibri"/>
          <w:color w:val="auto"/>
          <w:spacing w:val="2"/>
          <w:sz w:val="22"/>
          <w:szCs w:val="22"/>
          <w:lang w:val="en-US" w:eastAsia="en-US"/>
        </w:rPr>
        <w:t>o</w:t>
      </w:r>
      <w:r>
        <w:rPr>
          <w:rFonts w:ascii="Verdana" w:hAnsi="Verdana" w:cs="Calibri"/>
          <w:color w:val="auto"/>
          <w:spacing w:val="4"/>
          <w:sz w:val="22"/>
          <w:szCs w:val="22"/>
          <w:lang w:val="en-US" w:eastAsia="en-US"/>
        </w:rPr>
        <w:t>m</w:t>
      </w:r>
      <w:r>
        <w:rPr>
          <w:rFonts w:ascii="Verdana" w:hAnsi="Verdana" w:cs="Calibri"/>
          <w:color w:val="auto"/>
          <w:spacing w:val="-3"/>
          <w:sz w:val="22"/>
          <w:szCs w:val="22"/>
          <w:lang w:val="en-US" w:eastAsia="en-US"/>
        </w:rPr>
        <w:t>e</w:t>
      </w:r>
      <w:r>
        <w:rPr>
          <w:rFonts w:ascii="Verdana" w:hAnsi="Verdana" w:cs="Calibri"/>
          <w:color w:val="auto"/>
          <w:sz w:val="22"/>
          <w:szCs w:val="22"/>
          <w:lang w:val="en-US" w:eastAsia="en-US"/>
        </w:rPr>
        <w:t>s are</w:t>
      </w:r>
      <w:r>
        <w:rPr>
          <w:rFonts w:ascii="Verdana" w:hAnsi="Verdana" w:cs="Calibri"/>
          <w:color w:val="auto"/>
          <w:spacing w:val="-3"/>
          <w:sz w:val="22"/>
          <w:szCs w:val="22"/>
          <w:lang w:val="en-US" w:eastAsia="en-US"/>
        </w:rPr>
        <w:t xml:space="preserve"> </w:t>
      </w:r>
      <w:r>
        <w:rPr>
          <w:rFonts w:ascii="Verdana" w:hAnsi="Verdana" w:cs="Calibri"/>
          <w:color w:val="auto"/>
          <w:spacing w:val="4"/>
          <w:sz w:val="22"/>
          <w:szCs w:val="22"/>
          <w:lang w:val="en-US" w:eastAsia="en-US"/>
        </w:rPr>
        <w:t>m</w:t>
      </w:r>
      <w:r>
        <w:rPr>
          <w:rFonts w:ascii="Verdana" w:hAnsi="Verdana" w:cs="Calibri"/>
          <w:color w:val="auto"/>
          <w:sz w:val="22"/>
          <w:szCs w:val="22"/>
          <w:lang w:val="en-US" w:eastAsia="en-US"/>
        </w:rPr>
        <w:t>a</w:t>
      </w:r>
      <w:r>
        <w:rPr>
          <w:rFonts w:ascii="Verdana" w:hAnsi="Verdana" w:cs="Calibri"/>
          <w:color w:val="auto"/>
          <w:spacing w:val="-1"/>
          <w:sz w:val="22"/>
          <w:szCs w:val="22"/>
          <w:lang w:val="en-US" w:eastAsia="en-US"/>
        </w:rPr>
        <w:t>i</w:t>
      </w:r>
      <w:r>
        <w:rPr>
          <w:rFonts w:ascii="Verdana" w:hAnsi="Verdana" w:cs="Calibri"/>
          <w:color w:val="auto"/>
          <w:sz w:val="22"/>
          <w:szCs w:val="22"/>
          <w:lang w:val="en-US" w:eastAsia="en-US"/>
        </w:rPr>
        <w:t>nt</w:t>
      </w:r>
      <w:r>
        <w:rPr>
          <w:rFonts w:ascii="Verdana" w:hAnsi="Verdana" w:cs="Calibri"/>
          <w:color w:val="auto"/>
          <w:spacing w:val="-1"/>
          <w:sz w:val="22"/>
          <w:szCs w:val="22"/>
          <w:lang w:val="en-US" w:eastAsia="en-US"/>
        </w:rPr>
        <w:t>ai</w:t>
      </w:r>
      <w:r>
        <w:rPr>
          <w:rFonts w:ascii="Verdana" w:hAnsi="Verdana" w:cs="Calibri"/>
          <w:color w:val="auto"/>
          <w:spacing w:val="2"/>
          <w:sz w:val="22"/>
          <w:szCs w:val="22"/>
          <w:lang w:val="en-US" w:eastAsia="en-US"/>
        </w:rPr>
        <w:t>n</w:t>
      </w:r>
      <w:r>
        <w:rPr>
          <w:rFonts w:ascii="Verdana" w:hAnsi="Verdana" w:cs="Calibri"/>
          <w:color w:val="auto"/>
          <w:sz w:val="22"/>
          <w:szCs w:val="22"/>
          <w:lang w:val="en-US" w:eastAsia="en-US"/>
        </w:rPr>
        <w:t>ed</w:t>
      </w:r>
      <w:r>
        <w:rPr>
          <w:rFonts w:ascii="Verdana" w:hAnsi="Verdana" w:cs="Calibri"/>
          <w:color w:val="auto"/>
          <w:spacing w:val="-3"/>
          <w:sz w:val="22"/>
          <w:szCs w:val="22"/>
          <w:lang w:val="en-US" w:eastAsia="en-US"/>
        </w:rPr>
        <w:t xml:space="preserve"> </w:t>
      </w:r>
      <w:r>
        <w:rPr>
          <w:rFonts w:ascii="Verdana" w:hAnsi="Verdana" w:cs="Calibri"/>
          <w:color w:val="auto"/>
          <w:spacing w:val="4"/>
          <w:sz w:val="22"/>
          <w:szCs w:val="22"/>
          <w:lang w:val="en-US" w:eastAsia="en-US"/>
        </w:rPr>
        <w:t>b</w:t>
      </w:r>
      <w:r>
        <w:rPr>
          <w:rFonts w:ascii="Verdana" w:hAnsi="Verdana" w:cs="Calibri"/>
          <w:color w:val="auto"/>
          <w:sz w:val="22"/>
          <w:szCs w:val="22"/>
          <w:lang w:val="en-US" w:eastAsia="en-US"/>
        </w:rPr>
        <w:t>y the School</w:t>
      </w:r>
      <w:r>
        <w:rPr>
          <w:rFonts w:ascii="Verdana" w:hAnsi="Verdana" w:cs="Calibri"/>
          <w:b/>
          <w:bCs/>
          <w:i/>
          <w:iCs/>
          <w:color w:val="auto"/>
          <w:spacing w:val="-2"/>
          <w:sz w:val="22"/>
          <w:szCs w:val="22"/>
          <w:lang w:val="en-US" w:eastAsia="en-US"/>
        </w:rPr>
        <w:t xml:space="preserve"> </w:t>
      </w:r>
      <w:r>
        <w:rPr>
          <w:rFonts w:ascii="Verdana" w:hAnsi="Verdana" w:cs="Calibri"/>
          <w:color w:val="auto"/>
          <w:spacing w:val="2"/>
          <w:sz w:val="22"/>
          <w:szCs w:val="22"/>
          <w:lang w:val="en-US" w:eastAsia="en-US"/>
        </w:rPr>
        <w:t>f</w:t>
      </w:r>
      <w:r>
        <w:rPr>
          <w:rFonts w:ascii="Verdana" w:hAnsi="Verdana" w:cs="Calibri"/>
          <w:color w:val="auto"/>
          <w:sz w:val="22"/>
          <w:szCs w:val="22"/>
          <w:lang w:val="en-US" w:eastAsia="en-US"/>
        </w:rPr>
        <w:t>or</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a p</w:t>
      </w:r>
      <w:r>
        <w:rPr>
          <w:rFonts w:ascii="Verdana" w:hAnsi="Verdana" w:cs="Calibri"/>
          <w:color w:val="auto"/>
          <w:spacing w:val="-1"/>
          <w:sz w:val="22"/>
          <w:szCs w:val="22"/>
          <w:lang w:val="en-US" w:eastAsia="en-US"/>
        </w:rPr>
        <w:t>e</w:t>
      </w:r>
      <w:r>
        <w:rPr>
          <w:rFonts w:ascii="Verdana" w:hAnsi="Verdana" w:cs="Calibri"/>
          <w:color w:val="auto"/>
          <w:spacing w:val="1"/>
          <w:sz w:val="22"/>
          <w:szCs w:val="22"/>
          <w:lang w:val="en-US" w:eastAsia="en-US"/>
        </w:rPr>
        <w:t>r</w:t>
      </w:r>
      <w:r>
        <w:rPr>
          <w:rFonts w:ascii="Verdana" w:hAnsi="Verdana" w:cs="Calibri"/>
          <w:color w:val="auto"/>
          <w:spacing w:val="-1"/>
          <w:sz w:val="22"/>
          <w:szCs w:val="22"/>
          <w:lang w:val="en-US" w:eastAsia="en-US"/>
        </w:rPr>
        <w:t>i</w:t>
      </w:r>
      <w:r>
        <w:rPr>
          <w:rFonts w:ascii="Verdana" w:hAnsi="Verdana" w:cs="Calibri"/>
          <w:color w:val="auto"/>
          <w:spacing w:val="2"/>
          <w:sz w:val="22"/>
          <w:szCs w:val="22"/>
          <w:lang w:val="en-US" w:eastAsia="en-US"/>
        </w:rPr>
        <w:t>o</w:t>
      </w:r>
      <w:r>
        <w:rPr>
          <w:rFonts w:ascii="Verdana" w:hAnsi="Verdana" w:cs="Calibri"/>
          <w:color w:val="auto"/>
          <w:sz w:val="22"/>
          <w:szCs w:val="22"/>
          <w:lang w:val="en-US" w:eastAsia="en-US"/>
        </w:rPr>
        <w:t xml:space="preserve">d </w:t>
      </w:r>
      <w:r>
        <w:rPr>
          <w:rFonts w:ascii="Verdana" w:hAnsi="Verdana" w:cs="Calibri"/>
          <w:color w:val="auto"/>
          <w:spacing w:val="-1"/>
          <w:sz w:val="22"/>
          <w:szCs w:val="22"/>
          <w:lang w:val="en-US" w:eastAsia="en-US"/>
        </w:rPr>
        <w:t>o</w:t>
      </w:r>
      <w:r>
        <w:rPr>
          <w:rFonts w:ascii="Verdana" w:hAnsi="Verdana" w:cs="Calibri"/>
          <w:color w:val="auto"/>
          <w:sz w:val="22"/>
          <w:szCs w:val="22"/>
          <w:lang w:val="en-US" w:eastAsia="en-US"/>
        </w:rPr>
        <w:t>f</w:t>
      </w:r>
      <w:r>
        <w:rPr>
          <w:rFonts w:ascii="Verdana" w:hAnsi="Verdana" w:cs="Calibri"/>
          <w:color w:val="auto"/>
          <w:spacing w:val="1"/>
          <w:sz w:val="22"/>
          <w:szCs w:val="22"/>
          <w:lang w:val="en-US" w:eastAsia="en-US"/>
        </w:rPr>
        <w:t xml:space="preserve"> </w:t>
      </w:r>
      <w:r>
        <w:rPr>
          <w:rFonts w:ascii="Verdana" w:hAnsi="Verdana" w:cs="Calibri"/>
          <w:color w:val="auto"/>
          <w:sz w:val="22"/>
          <w:szCs w:val="22"/>
          <w:lang w:val="en-US" w:eastAsia="en-US"/>
        </w:rPr>
        <w:t>at</w:t>
      </w:r>
      <w:r>
        <w:rPr>
          <w:rFonts w:ascii="Verdana" w:hAnsi="Verdana" w:cs="Calibri"/>
          <w:color w:val="auto"/>
          <w:spacing w:val="-1"/>
          <w:sz w:val="22"/>
          <w:szCs w:val="22"/>
          <w:lang w:val="en-US" w:eastAsia="en-US"/>
        </w:rPr>
        <w:t xml:space="preserve"> l</w:t>
      </w:r>
      <w:r>
        <w:rPr>
          <w:rFonts w:ascii="Verdana" w:hAnsi="Verdana" w:cs="Calibri"/>
          <w:color w:val="auto"/>
          <w:sz w:val="22"/>
          <w:szCs w:val="22"/>
          <w:lang w:val="en-US" w:eastAsia="en-US"/>
        </w:rPr>
        <w:t>e</w:t>
      </w:r>
      <w:r>
        <w:rPr>
          <w:rFonts w:ascii="Verdana" w:hAnsi="Verdana" w:cs="Calibri"/>
          <w:color w:val="auto"/>
          <w:spacing w:val="-1"/>
          <w:sz w:val="22"/>
          <w:szCs w:val="22"/>
          <w:lang w:val="en-US" w:eastAsia="en-US"/>
        </w:rPr>
        <w:t>a</w:t>
      </w:r>
      <w:r>
        <w:rPr>
          <w:rFonts w:ascii="Verdana" w:hAnsi="Verdana" w:cs="Calibri"/>
          <w:color w:val="auto"/>
          <w:spacing w:val="1"/>
          <w:sz w:val="22"/>
          <w:szCs w:val="22"/>
          <w:lang w:val="en-US" w:eastAsia="en-US"/>
        </w:rPr>
        <w:t>s</w:t>
      </w:r>
      <w:r>
        <w:rPr>
          <w:rFonts w:ascii="Verdana" w:hAnsi="Verdana" w:cs="Calibri"/>
          <w:color w:val="auto"/>
          <w:sz w:val="22"/>
          <w:szCs w:val="22"/>
          <w:lang w:val="en-US" w:eastAsia="en-US"/>
        </w:rPr>
        <w:t xml:space="preserve">t </w:t>
      </w:r>
      <w:r>
        <w:rPr>
          <w:rFonts w:ascii="Verdana" w:hAnsi="Verdana" w:cs="Calibri"/>
          <w:color w:val="auto"/>
          <w:spacing w:val="2"/>
          <w:sz w:val="22"/>
          <w:szCs w:val="22"/>
          <w:lang w:val="en-US" w:eastAsia="en-US"/>
        </w:rPr>
        <w:t>f</w:t>
      </w:r>
      <w:r>
        <w:rPr>
          <w:rFonts w:ascii="Verdana" w:hAnsi="Verdana" w:cs="Calibri"/>
          <w:color w:val="auto"/>
          <w:spacing w:val="1"/>
          <w:sz w:val="22"/>
          <w:szCs w:val="22"/>
          <w:lang w:val="en-US" w:eastAsia="en-US"/>
        </w:rPr>
        <w:t>i</w:t>
      </w:r>
      <w:r>
        <w:rPr>
          <w:rFonts w:ascii="Verdana" w:hAnsi="Verdana" w:cs="Calibri"/>
          <w:color w:val="auto"/>
          <w:spacing w:val="-1"/>
          <w:sz w:val="22"/>
          <w:szCs w:val="22"/>
          <w:lang w:val="en-US" w:eastAsia="en-US"/>
        </w:rPr>
        <w:t>v</w:t>
      </w:r>
      <w:r>
        <w:rPr>
          <w:rFonts w:ascii="Verdana" w:hAnsi="Verdana" w:cs="Calibri"/>
          <w:color w:val="auto"/>
          <w:sz w:val="22"/>
          <w:szCs w:val="22"/>
          <w:lang w:val="en-US" w:eastAsia="en-US"/>
        </w:rPr>
        <w:t>e</w:t>
      </w:r>
      <w:r>
        <w:rPr>
          <w:rFonts w:ascii="Verdana" w:hAnsi="Verdana" w:cs="Calibri"/>
          <w:color w:val="auto"/>
          <w:spacing w:val="3"/>
          <w:sz w:val="22"/>
          <w:szCs w:val="22"/>
          <w:lang w:val="en-US" w:eastAsia="en-US"/>
        </w:rPr>
        <w:t xml:space="preserve"> </w:t>
      </w:r>
      <w:r>
        <w:rPr>
          <w:rFonts w:ascii="Verdana" w:hAnsi="Verdana" w:cs="Calibri"/>
          <w:color w:val="auto"/>
          <w:spacing w:val="-4"/>
          <w:sz w:val="22"/>
          <w:szCs w:val="22"/>
          <w:lang w:val="en-US" w:eastAsia="en-US"/>
        </w:rPr>
        <w:t>y</w:t>
      </w:r>
      <w:r>
        <w:rPr>
          <w:rFonts w:ascii="Verdana" w:hAnsi="Verdana" w:cs="Calibri"/>
          <w:color w:val="auto"/>
          <w:spacing w:val="2"/>
          <w:sz w:val="22"/>
          <w:szCs w:val="22"/>
          <w:lang w:val="en-US" w:eastAsia="en-US"/>
        </w:rPr>
        <w:t>e</w:t>
      </w:r>
      <w:r>
        <w:rPr>
          <w:rFonts w:ascii="Verdana" w:hAnsi="Verdana" w:cs="Calibri"/>
          <w:color w:val="auto"/>
          <w:sz w:val="22"/>
          <w:szCs w:val="22"/>
          <w:lang w:val="en-US" w:eastAsia="en-US"/>
        </w:rPr>
        <w:t>ar</w:t>
      </w:r>
      <w:r>
        <w:rPr>
          <w:rFonts w:ascii="Verdana" w:hAnsi="Verdana" w:cs="Calibri"/>
          <w:color w:val="auto"/>
          <w:spacing w:val="2"/>
          <w:sz w:val="22"/>
          <w:szCs w:val="22"/>
          <w:lang w:val="en-US" w:eastAsia="en-US"/>
        </w:rPr>
        <w:t>s.</w:t>
      </w:r>
    </w:p>
    <w:p>
      <w:pPr>
        <w:widowControl w:val="0"/>
        <w:tabs>
          <w:tab w:val="left" w:pos="851"/>
        </w:tabs>
        <w:suppressAutoHyphens w:val="0"/>
        <w:autoSpaceDE w:val="0"/>
        <w:autoSpaceDN w:val="0"/>
        <w:adjustRightInd w:val="0"/>
        <w:spacing w:after="200" w:line="276" w:lineRule="auto"/>
        <w:ind w:right="28"/>
        <w:rPr>
          <w:rFonts w:ascii="Verdana" w:hAnsi="Verdana" w:cs="Calibri"/>
          <w:color w:val="auto"/>
          <w:spacing w:val="2"/>
          <w:sz w:val="22"/>
          <w:szCs w:val="22"/>
          <w:lang w:val="en-US" w:eastAsia="en-US"/>
        </w:rPr>
      </w:pPr>
    </w:p>
    <w:p>
      <w:pPr>
        <w:pStyle w:val="Heading2"/>
        <w:shd w:val="clear" w:color="auto" w:fill="E8EEF7"/>
      </w:pPr>
      <w:r>
        <w:t>13. Results, enquiries about results (EARs) and access to scripts (ATS)</w:t>
      </w:r>
    </w:p>
    <w:p>
      <w:pPr>
        <w:pStyle w:val="Heading1"/>
        <w:tabs>
          <w:tab w:val="clear" w:pos="432"/>
        </w:tabs>
        <w:ind w:firstLine="0"/>
        <w:rPr>
          <w:u w:val="single"/>
        </w:rPr>
      </w:pPr>
      <w:r>
        <w:rPr>
          <w:u w:val="single"/>
        </w:rPr>
        <w:t>13.1 Results</w:t>
      </w:r>
    </w:p>
    <w:p>
      <w:pPr>
        <w:pStyle w:val="Heading1"/>
        <w:numPr>
          <w:ilvl w:val="0"/>
          <w:numId w:val="4"/>
        </w:numPr>
        <w:spacing w:before="0" w:after="240"/>
      </w:pPr>
      <w:r>
        <w:t xml:space="preserve">Candidates will receive individual results slips on results days in person at the Centre / by post to their home addresses.  Candidates </w:t>
      </w:r>
      <w:r>
        <w:lastRenderedPageBreak/>
        <w:t>need to provide stamped addressed envelopes if they require results to be sent by post.</w:t>
      </w:r>
    </w:p>
    <w:p>
      <w:pPr>
        <w:pStyle w:val="Heading1"/>
        <w:numPr>
          <w:ilvl w:val="0"/>
          <w:numId w:val="4"/>
        </w:numPr>
        <w:spacing w:before="0" w:after="240"/>
      </w:pPr>
      <w:r>
        <w:t>Arrangements for the School to be open on results days are made by the  Estates Director. The provision of staff on results days is the responsibility of the Senior Leadership Team.</w:t>
      </w:r>
    </w:p>
    <w:p>
      <w:pPr>
        <w:pStyle w:val="Heading1"/>
        <w:tabs>
          <w:tab w:val="clear" w:pos="432"/>
        </w:tabs>
        <w:spacing w:before="0" w:after="240"/>
        <w:ind w:left="360" w:firstLine="0"/>
      </w:pPr>
      <w:r>
        <w:rPr>
          <w:u w:val="single"/>
        </w:rPr>
        <w:t>13.2 Enquiries About Results</w:t>
      </w:r>
      <w:r>
        <w:t xml:space="preserve"> </w:t>
      </w:r>
    </w:p>
    <w:p>
      <w:pPr>
        <w:pStyle w:val="Heading1"/>
        <w:spacing w:before="0" w:after="240"/>
      </w:pPr>
      <w:r>
        <w:t>EARs may be requested by Centre staff or candidates if there are reasonable grounds for believing there has been an error in marking.</w:t>
      </w:r>
    </w:p>
    <w:p>
      <w:pPr>
        <w:pStyle w:val="Heading1"/>
        <w:spacing w:before="0" w:after="0"/>
      </w:pPr>
      <w:r>
        <w:t xml:space="preserve">When the Centre does not uphold an EAR, a candidate may apply to have an enquiry carried out. If a candidate requests this against the advice of subject staff, they will be liable for the cost. </w:t>
      </w:r>
    </w:p>
    <w:p>
      <w:pPr>
        <w:pStyle w:val="Heading1"/>
        <w:tabs>
          <w:tab w:val="clear" w:pos="432"/>
        </w:tabs>
        <w:spacing w:before="0" w:after="0"/>
        <w:ind w:left="0" w:firstLine="0"/>
      </w:pPr>
    </w:p>
    <w:p>
      <w:pPr>
        <w:pStyle w:val="Heading1"/>
        <w:spacing w:before="0" w:after="0"/>
      </w:pPr>
      <w:r>
        <w:t>In all requests a candidate must give written consent.  Candidates should be aware that when requesting a re-mark, their mark and grade could go down.</w:t>
      </w:r>
      <w:r>
        <w:br/>
      </w:r>
    </w:p>
    <w:p>
      <w:pPr>
        <w:pStyle w:val="Heading1"/>
        <w:spacing w:before="0" w:after="0"/>
      </w:pPr>
      <w:r>
        <w:t>After the release of results, candidates may  request the return of examination scripts.  The candidate will be liable for the cost of this service.</w:t>
      </w:r>
    </w:p>
    <w:p>
      <w:pPr>
        <w:pStyle w:val="Heading1"/>
        <w:tabs>
          <w:tab w:val="clear" w:pos="432"/>
        </w:tabs>
        <w:spacing w:before="0" w:after="0"/>
        <w:ind w:left="0" w:firstLine="0"/>
      </w:pPr>
    </w:p>
    <w:p>
      <w:pPr>
        <w:pStyle w:val="Heading1"/>
        <w:spacing w:before="0" w:after="0"/>
      </w:pPr>
      <w:r>
        <w:t>Centre staff may also request scripts for investigation or for teaching purposes. For the latter, the consent of candidates must be obtained. The subject department will be responsible for the cost.</w:t>
      </w:r>
    </w:p>
    <w:p>
      <w:pPr>
        <w:pStyle w:val="Heading1"/>
        <w:tabs>
          <w:tab w:val="clear" w:pos="432"/>
        </w:tabs>
        <w:spacing w:before="0" w:after="0"/>
      </w:pPr>
    </w:p>
    <w:p>
      <w:pPr>
        <w:pStyle w:val="Heading2"/>
        <w:shd w:val="clear" w:color="auto" w:fill="E8EEF7"/>
      </w:pPr>
    </w:p>
    <w:p>
      <w:pPr>
        <w:pStyle w:val="Heading2"/>
        <w:shd w:val="clear" w:color="auto" w:fill="E8EEF7"/>
      </w:pPr>
      <w:r>
        <w:t>14. Certificates</w:t>
      </w:r>
    </w:p>
    <w:p>
      <w:pPr>
        <w:pStyle w:val="Heading1"/>
        <w:spacing w:after="240"/>
      </w:pPr>
      <w:r>
        <w:t>Certificates are collected and signed for.</w:t>
      </w:r>
    </w:p>
    <w:p>
      <w:pPr>
        <w:pStyle w:val="Heading1"/>
        <w:spacing w:after="240"/>
      </w:pPr>
      <w:r>
        <w:t>Certificates may not be collected on behalf of a candidate by a third party.</w:t>
      </w:r>
    </w:p>
    <w:p>
      <w:pPr>
        <w:pStyle w:val="Heading1"/>
        <w:spacing w:after="240"/>
      </w:pPr>
      <w:r>
        <w:t>There may be a delay in issuing certificates to candidates who owe fees.</w:t>
      </w:r>
    </w:p>
    <w:p>
      <w:pPr>
        <w:pStyle w:val="Heading1"/>
        <w:spacing w:after="240"/>
      </w:pPr>
      <w:r>
        <w:t>The Centre retains uncollected certificates for two years; after this any uncollected certificates will be destroyed.</w:t>
      </w:r>
      <w:r>
        <w:br/>
      </w:r>
      <w:r>
        <w:br/>
      </w:r>
      <w:r>
        <w:br/>
      </w:r>
    </w:p>
    <w:tbl>
      <w:tblPr>
        <w:tblW w:w="0" w:type="auto"/>
        <w:tblLayout w:type="fixed"/>
        <w:tblCellMar>
          <w:left w:w="0" w:type="dxa"/>
          <w:right w:w="0" w:type="dxa"/>
        </w:tblCellMar>
        <w:tblLook w:val="0000" w:firstRow="0" w:lastRow="0" w:firstColumn="0" w:lastColumn="0" w:noHBand="0" w:noVBand="0"/>
      </w:tblPr>
      <w:tblGrid>
        <w:gridCol w:w="3741"/>
        <w:gridCol w:w="831"/>
        <w:gridCol w:w="3740"/>
      </w:tblGrid>
      <w:tr>
        <w:tc>
          <w:tcPr>
            <w:tcW w:w="3741" w:type="dxa"/>
            <w:tcBorders>
              <w:top w:val="single" w:sz="4" w:space="0" w:color="808080"/>
            </w:tcBorders>
            <w:shd w:val="clear" w:color="auto" w:fill="auto"/>
            <w:vAlign w:val="center"/>
          </w:tcPr>
          <w:p>
            <w:pPr>
              <w:pStyle w:val="NormalWeb"/>
              <w:snapToGrid w:val="0"/>
              <w:spacing w:before="0" w:after="0"/>
              <w:rPr>
                <w:rFonts w:ascii="Verdana" w:hAnsi="Verdana"/>
                <w:b/>
                <w:bCs/>
              </w:rPr>
            </w:pPr>
            <w:r>
              <w:rPr>
                <w:rFonts w:ascii="Verdana" w:hAnsi="Verdana"/>
                <w:b/>
                <w:bCs/>
              </w:rPr>
              <w:t>Head of Centre</w:t>
            </w:r>
          </w:p>
        </w:tc>
        <w:tc>
          <w:tcPr>
            <w:tcW w:w="831" w:type="dxa"/>
            <w:shd w:val="clear" w:color="auto" w:fill="auto"/>
            <w:vAlign w:val="center"/>
          </w:tcPr>
          <w:p>
            <w:pPr>
              <w:snapToGrid w:val="0"/>
            </w:pPr>
            <w:r>
              <w:t> </w:t>
            </w:r>
          </w:p>
        </w:tc>
        <w:tc>
          <w:tcPr>
            <w:tcW w:w="3740" w:type="dxa"/>
            <w:tcBorders>
              <w:top w:val="single" w:sz="4" w:space="0" w:color="808080"/>
            </w:tcBorders>
            <w:shd w:val="clear" w:color="auto" w:fill="auto"/>
            <w:vAlign w:val="center"/>
          </w:tcPr>
          <w:p>
            <w:pPr>
              <w:pStyle w:val="NormalWeb"/>
              <w:snapToGrid w:val="0"/>
              <w:spacing w:before="0" w:after="0"/>
              <w:rPr>
                <w:rFonts w:ascii="Verdana" w:hAnsi="Verdana"/>
                <w:b/>
                <w:bCs/>
              </w:rPr>
            </w:pPr>
            <w:r>
              <w:rPr>
                <w:rFonts w:ascii="Verdana" w:hAnsi="Verdana"/>
                <w:b/>
                <w:bCs/>
              </w:rPr>
              <w:t xml:space="preserve"> Data &amp; Assessment Manager</w:t>
            </w:r>
          </w:p>
        </w:tc>
      </w:tr>
      <w:tr>
        <w:tc>
          <w:tcPr>
            <w:tcW w:w="8312" w:type="dxa"/>
            <w:gridSpan w:val="3"/>
            <w:shd w:val="clear" w:color="auto" w:fill="auto"/>
            <w:vAlign w:val="center"/>
          </w:tcPr>
          <w:p>
            <w:pPr>
              <w:snapToGrid w:val="0"/>
            </w:pPr>
            <w:r>
              <w:t> </w:t>
            </w:r>
          </w:p>
        </w:tc>
      </w:tr>
      <w:tr>
        <w:tc>
          <w:tcPr>
            <w:tcW w:w="3741" w:type="dxa"/>
            <w:shd w:val="clear" w:color="auto" w:fill="auto"/>
            <w:vAlign w:val="center"/>
          </w:tcPr>
          <w:p>
            <w:pPr>
              <w:snapToGrid w:val="0"/>
              <w:rPr>
                <w:sz w:val="20"/>
                <w:szCs w:val="20"/>
              </w:rPr>
            </w:pPr>
          </w:p>
        </w:tc>
        <w:tc>
          <w:tcPr>
            <w:tcW w:w="831" w:type="dxa"/>
            <w:shd w:val="clear" w:color="auto" w:fill="auto"/>
            <w:vAlign w:val="center"/>
          </w:tcPr>
          <w:p>
            <w:pPr>
              <w:snapToGrid w:val="0"/>
              <w:rPr>
                <w:sz w:val="20"/>
                <w:szCs w:val="20"/>
              </w:rPr>
            </w:pPr>
          </w:p>
        </w:tc>
        <w:tc>
          <w:tcPr>
            <w:tcW w:w="3740" w:type="dxa"/>
            <w:shd w:val="clear" w:color="auto" w:fill="auto"/>
            <w:vAlign w:val="center"/>
          </w:tcPr>
          <w:p>
            <w:pPr>
              <w:snapToGrid w:val="0"/>
              <w:rPr>
                <w:sz w:val="20"/>
                <w:szCs w:val="20"/>
              </w:rPr>
            </w:pPr>
          </w:p>
        </w:tc>
      </w:tr>
      <w:tr>
        <w:tc>
          <w:tcPr>
            <w:tcW w:w="3741" w:type="dxa"/>
            <w:tcBorders>
              <w:top w:val="single" w:sz="4" w:space="0" w:color="808080"/>
            </w:tcBorders>
            <w:shd w:val="clear" w:color="auto" w:fill="auto"/>
            <w:vAlign w:val="center"/>
          </w:tcPr>
          <w:p>
            <w:pPr>
              <w:pStyle w:val="NormalWeb"/>
              <w:snapToGrid w:val="0"/>
              <w:spacing w:before="0" w:after="0"/>
              <w:rPr>
                <w:rFonts w:ascii="Verdana" w:hAnsi="Verdana"/>
                <w:b/>
                <w:bCs/>
              </w:rPr>
            </w:pPr>
            <w:r>
              <w:rPr>
                <w:rFonts w:ascii="Verdana" w:hAnsi="Verdana"/>
                <w:b/>
                <w:bCs/>
              </w:rPr>
              <w:t>Date</w:t>
            </w:r>
          </w:p>
        </w:tc>
        <w:tc>
          <w:tcPr>
            <w:tcW w:w="831" w:type="dxa"/>
            <w:shd w:val="clear" w:color="auto" w:fill="auto"/>
            <w:vAlign w:val="center"/>
          </w:tcPr>
          <w:p>
            <w:pPr>
              <w:snapToGrid w:val="0"/>
              <w:rPr>
                <w:sz w:val="20"/>
                <w:szCs w:val="20"/>
              </w:rPr>
            </w:pPr>
          </w:p>
        </w:tc>
        <w:tc>
          <w:tcPr>
            <w:tcW w:w="3740" w:type="dxa"/>
            <w:shd w:val="clear" w:color="auto" w:fill="auto"/>
            <w:vAlign w:val="center"/>
          </w:tcPr>
          <w:p>
            <w:pPr>
              <w:snapToGrid w:val="0"/>
              <w:rPr>
                <w:sz w:val="20"/>
                <w:szCs w:val="20"/>
              </w:rPr>
            </w:pPr>
          </w:p>
        </w:tc>
      </w:tr>
      <w:tr>
        <w:tc>
          <w:tcPr>
            <w:tcW w:w="8312" w:type="dxa"/>
            <w:gridSpan w:val="3"/>
            <w:shd w:val="clear" w:color="auto" w:fill="auto"/>
            <w:vAlign w:val="center"/>
          </w:tcPr>
          <w:p>
            <w:pPr>
              <w:snapToGrid w:val="0"/>
            </w:pPr>
            <w:r>
              <w:t> </w:t>
            </w:r>
          </w:p>
        </w:tc>
      </w:tr>
      <w:tr>
        <w:tc>
          <w:tcPr>
            <w:tcW w:w="8312" w:type="dxa"/>
            <w:gridSpan w:val="3"/>
            <w:shd w:val="clear" w:color="auto" w:fill="auto"/>
            <w:vAlign w:val="center"/>
          </w:tcPr>
          <w:p>
            <w:pPr>
              <w:snapToGrid w:val="0"/>
            </w:pPr>
            <w:r>
              <w:lastRenderedPageBreak/>
              <w:t> </w:t>
            </w:r>
          </w:p>
        </w:tc>
      </w:tr>
      <w:tr>
        <w:tc>
          <w:tcPr>
            <w:tcW w:w="8312" w:type="dxa"/>
            <w:gridSpan w:val="3"/>
            <w:shd w:val="clear" w:color="auto" w:fill="auto"/>
            <w:vAlign w:val="center"/>
          </w:tcPr>
          <w:p>
            <w:pPr>
              <w:pStyle w:val="Heading1"/>
              <w:tabs>
                <w:tab w:val="clear" w:pos="432"/>
              </w:tabs>
              <w:snapToGrid w:val="0"/>
              <w:spacing w:before="0" w:after="0"/>
              <w:ind w:firstLine="0"/>
            </w:pPr>
            <w:r>
              <w:t>The policy is next due for review on 01/09/2017.</w:t>
            </w:r>
          </w:p>
        </w:tc>
      </w:tr>
    </w:tbl>
    <w:p/>
    <w:p/>
    <w:sectPr>
      <w:pgSz w:w="11906" w:h="16838"/>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64EFF3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9717375"/>
    <w:multiLevelType w:val="multilevel"/>
    <w:tmpl w:val="0809001F"/>
    <w:styleLink w:val="Style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FC2C9E"/>
    <w:multiLevelType w:val="hybridMultilevel"/>
    <w:tmpl w:val="755818A2"/>
    <w:styleLink w:val="Style53"/>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7E39A5"/>
    <w:multiLevelType w:val="hybridMultilevel"/>
    <w:tmpl w:val="708ACB9C"/>
    <w:styleLink w:val="Style4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EF2056"/>
    <w:multiLevelType w:val="multilevel"/>
    <w:tmpl w:val="864EFF3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F0A1F63"/>
    <w:multiLevelType w:val="hybridMultilevel"/>
    <w:tmpl w:val="CFFC8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637EE8"/>
    <w:multiLevelType w:val="hybridMultilevel"/>
    <w:tmpl w:val="6BCE3B16"/>
    <w:styleLink w:val="Style61"/>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7">
    <w:nsid w:val="1C1F1609"/>
    <w:multiLevelType w:val="hybridMultilevel"/>
    <w:tmpl w:val="257C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366A6F"/>
    <w:multiLevelType w:val="multilevel"/>
    <w:tmpl w:val="B2D04A98"/>
    <w:styleLink w:val="Style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ECC02A1"/>
    <w:multiLevelType w:val="multilevel"/>
    <w:tmpl w:val="0809001F"/>
    <w:styleLink w:val="Style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9E67618"/>
    <w:multiLevelType w:val="hybridMultilevel"/>
    <w:tmpl w:val="AA5C290E"/>
    <w:styleLink w:val="Style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940E56"/>
    <w:multiLevelType w:val="hybridMultilevel"/>
    <w:tmpl w:val="0550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EF1FA2"/>
    <w:multiLevelType w:val="hybridMultilevel"/>
    <w:tmpl w:val="0DA2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A260C1"/>
    <w:multiLevelType w:val="hybridMultilevel"/>
    <w:tmpl w:val="19F8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D47435"/>
    <w:multiLevelType w:val="multilevel"/>
    <w:tmpl w:val="0809001F"/>
    <w:styleLink w:val="Style4"/>
    <w:lvl w:ilvl="0">
      <w:start w:val="5"/>
      <w:numFmt w:val="decimal"/>
      <w:lvlText w:val="%1."/>
      <w:lvlJc w:val="left"/>
      <w:pPr>
        <w:ind w:left="360" w:hanging="360"/>
      </w:pPr>
    </w:lvl>
    <w:lvl w:ilvl="1">
      <w:start w:val="1"/>
      <w:numFmt w:val="decimal"/>
      <w:lvlText w:val="%1.%2."/>
      <w:lvlJc w:val="left"/>
      <w:pPr>
        <w:ind w:left="100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E12510F"/>
    <w:multiLevelType w:val="multilevel"/>
    <w:tmpl w:val="08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D236019"/>
    <w:multiLevelType w:val="multilevel"/>
    <w:tmpl w:val="0809001F"/>
    <w:styleLink w:val="Style5"/>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4C16A90"/>
    <w:multiLevelType w:val="hybridMultilevel"/>
    <w:tmpl w:val="5B8C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6E175B7"/>
    <w:multiLevelType w:val="multilevel"/>
    <w:tmpl w:val="864EFF3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9">
    <w:nsid w:val="791B49FD"/>
    <w:multiLevelType w:val="multilevel"/>
    <w:tmpl w:val="5470C688"/>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nsid w:val="79AB79D8"/>
    <w:multiLevelType w:val="hybridMultilevel"/>
    <w:tmpl w:val="EC12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F20B44"/>
    <w:multiLevelType w:val="hybridMultilevel"/>
    <w:tmpl w:val="A00C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877140"/>
    <w:multiLevelType w:val="multilevel"/>
    <w:tmpl w:val="864EFF34"/>
    <w:styleLink w:val="Style21"/>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7CE07F1E"/>
    <w:multiLevelType w:val="multilevel"/>
    <w:tmpl w:val="EC2C1678"/>
    <w:lvl w:ilvl="0">
      <w:start w:val="12"/>
      <w:numFmt w:val="decimal"/>
      <w:lvlText w:val="%1"/>
      <w:lvlJc w:val="left"/>
      <w:pPr>
        <w:ind w:left="525" w:hanging="525"/>
      </w:pPr>
      <w:rPr>
        <w:rFonts w:ascii="Verdana" w:hAnsi="Verdana" w:hint="default"/>
        <w:u w:val="single"/>
      </w:rPr>
    </w:lvl>
    <w:lvl w:ilvl="1">
      <w:start w:val="1"/>
      <w:numFmt w:val="decimal"/>
      <w:lvlText w:val="%1.%2"/>
      <w:lvlJc w:val="left"/>
      <w:pPr>
        <w:ind w:left="885" w:hanging="525"/>
      </w:pPr>
      <w:rPr>
        <w:rFonts w:ascii="Verdana" w:hAnsi="Verdana" w:hint="default"/>
        <w:u w:val="single"/>
      </w:rPr>
    </w:lvl>
    <w:lvl w:ilvl="2">
      <w:start w:val="1"/>
      <w:numFmt w:val="decimal"/>
      <w:lvlText w:val="%1.%2.%3"/>
      <w:lvlJc w:val="left"/>
      <w:pPr>
        <w:ind w:left="1440" w:hanging="720"/>
      </w:pPr>
      <w:rPr>
        <w:rFonts w:ascii="Verdana" w:hAnsi="Verdana" w:hint="default"/>
        <w:u w:val="single"/>
      </w:rPr>
    </w:lvl>
    <w:lvl w:ilvl="3">
      <w:start w:val="1"/>
      <w:numFmt w:val="decimal"/>
      <w:lvlText w:val="%1.%2.%3.%4"/>
      <w:lvlJc w:val="left"/>
      <w:pPr>
        <w:ind w:left="1800" w:hanging="720"/>
      </w:pPr>
      <w:rPr>
        <w:rFonts w:ascii="Verdana" w:hAnsi="Verdana" w:hint="default"/>
        <w:u w:val="single"/>
      </w:rPr>
    </w:lvl>
    <w:lvl w:ilvl="4">
      <w:start w:val="1"/>
      <w:numFmt w:val="decimal"/>
      <w:lvlText w:val="%1.%2.%3.%4.%5"/>
      <w:lvlJc w:val="left"/>
      <w:pPr>
        <w:ind w:left="2520" w:hanging="1080"/>
      </w:pPr>
      <w:rPr>
        <w:rFonts w:ascii="Verdana" w:hAnsi="Verdana" w:hint="default"/>
        <w:u w:val="single"/>
      </w:rPr>
    </w:lvl>
    <w:lvl w:ilvl="5">
      <w:start w:val="1"/>
      <w:numFmt w:val="decimal"/>
      <w:lvlText w:val="%1.%2.%3.%4.%5.%6"/>
      <w:lvlJc w:val="left"/>
      <w:pPr>
        <w:ind w:left="2880" w:hanging="1080"/>
      </w:pPr>
      <w:rPr>
        <w:rFonts w:ascii="Verdana" w:hAnsi="Verdana" w:hint="default"/>
        <w:u w:val="single"/>
      </w:rPr>
    </w:lvl>
    <w:lvl w:ilvl="6">
      <w:start w:val="1"/>
      <w:numFmt w:val="decimal"/>
      <w:lvlText w:val="%1.%2.%3.%4.%5.%6.%7"/>
      <w:lvlJc w:val="left"/>
      <w:pPr>
        <w:ind w:left="3600" w:hanging="1440"/>
      </w:pPr>
      <w:rPr>
        <w:rFonts w:ascii="Verdana" w:hAnsi="Verdana" w:hint="default"/>
        <w:u w:val="single"/>
      </w:rPr>
    </w:lvl>
    <w:lvl w:ilvl="7">
      <w:start w:val="1"/>
      <w:numFmt w:val="decimal"/>
      <w:lvlText w:val="%1.%2.%3.%4.%5.%6.%7.%8"/>
      <w:lvlJc w:val="left"/>
      <w:pPr>
        <w:ind w:left="3960" w:hanging="1440"/>
      </w:pPr>
      <w:rPr>
        <w:rFonts w:ascii="Verdana" w:hAnsi="Verdana" w:hint="default"/>
        <w:u w:val="single"/>
      </w:rPr>
    </w:lvl>
    <w:lvl w:ilvl="8">
      <w:start w:val="1"/>
      <w:numFmt w:val="decimal"/>
      <w:lvlText w:val="%1.%2.%3.%4.%5.%6.%7.%8.%9"/>
      <w:lvlJc w:val="left"/>
      <w:pPr>
        <w:ind w:left="4320" w:hanging="1440"/>
      </w:pPr>
      <w:rPr>
        <w:rFonts w:ascii="Verdana" w:hAnsi="Verdana" w:hint="default"/>
        <w:u w:val="single"/>
      </w:rPr>
    </w:lvl>
  </w:abstractNum>
  <w:abstractNum w:abstractNumId="24">
    <w:nsid w:val="7DC13A1C"/>
    <w:multiLevelType w:val="hybridMultilevel"/>
    <w:tmpl w:val="F5984D6C"/>
    <w:styleLink w:val="Style31"/>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681C3C"/>
    <w:multiLevelType w:val="hybridMultilevel"/>
    <w:tmpl w:val="AEBAB328"/>
    <w:styleLink w:val="Styl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9"/>
  </w:num>
  <w:num w:numId="4">
    <w:abstractNumId w:val="13"/>
  </w:num>
  <w:num w:numId="5">
    <w:abstractNumId w:val="4"/>
  </w:num>
  <w:num w:numId="6">
    <w:abstractNumId w:val="10"/>
  </w:num>
  <w:num w:numId="7">
    <w:abstractNumId w:val="22"/>
  </w:num>
  <w:num w:numId="8">
    <w:abstractNumId w:val="18"/>
  </w:num>
  <w:num w:numId="9">
    <w:abstractNumId w:val="20"/>
  </w:num>
  <w:num w:numId="10">
    <w:abstractNumId w:val="7"/>
  </w:num>
  <w:num w:numId="11">
    <w:abstractNumId w:val="24"/>
  </w:num>
  <w:num w:numId="12">
    <w:abstractNumId w:val="3"/>
  </w:num>
  <w:num w:numId="13">
    <w:abstractNumId w:val="25"/>
  </w:num>
  <w:num w:numId="14">
    <w:abstractNumId w:val="12"/>
  </w:num>
  <w:num w:numId="15">
    <w:abstractNumId w:val="6"/>
  </w:num>
  <w:num w:numId="16">
    <w:abstractNumId w:val="5"/>
  </w:num>
  <w:num w:numId="17">
    <w:abstractNumId w:val="15"/>
  </w:num>
  <w:num w:numId="18">
    <w:abstractNumId w:val="9"/>
  </w:num>
  <w:num w:numId="19">
    <w:abstractNumId w:val="1"/>
  </w:num>
  <w:num w:numId="20">
    <w:abstractNumId w:val="14"/>
  </w:num>
  <w:num w:numId="21">
    <w:abstractNumId w:val="16"/>
  </w:num>
  <w:num w:numId="22">
    <w:abstractNumId w:val="8"/>
  </w:num>
  <w:num w:numId="23">
    <w:abstractNumId w:val="17"/>
  </w:num>
  <w:num w:numId="24">
    <w:abstractNumId w:val="21"/>
  </w:num>
  <w:num w:numId="25">
    <w:abstractNumId w:val="23"/>
  </w:num>
  <w:num w:numId="26">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color w:val="000000"/>
      <w:sz w:val="24"/>
      <w:szCs w:val="24"/>
      <w:lang w:eastAsia="ar-SA"/>
    </w:rPr>
  </w:style>
  <w:style w:type="paragraph" w:styleId="Heading1">
    <w:name w:val="heading 1"/>
    <w:basedOn w:val="Normal"/>
    <w:next w:val="BodyText"/>
    <w:link w:val="Heading1Char1"/>
    <w:uiPriority w:val="9"/>
    <w:qFormat/>
    <w:pPr>
      <w:tabs>
        <w:tab w:val="num" w:pos="432"/>
      </w:tabs>
      <w:spacing w:before="280" w:after="280"/>
      <w:ind w:left="432" w:hanging="432"/>
      <w:outlineLvl w:val="0"/>
    </w:pPr>
    <w:rPr>
      <w:rFonts w:ascii="Verdana" w:hAnsi="Verdana"/>
      <w:color w:val="auto"/>
      <w:kern w:val="1"/>
      <w:sz w:val="22"/>
      <w:szCs w:val="22"/>
    </w:rPr>
  </w:style>
  <w:style w:type="paragraph" w:styleId="Heading2">
    <w:name w:val="heading 2"/>
    <w:basedOn w:val="Normal"/>
    <w:next w:val="BodyText"/>
    <w:link w:val="Heading2Char1"/>
    <w:uiPriority w:val="9"/>
    <w:qFormat/>
    <w:pPr>
      <w:keepNext/>
      <w:tabs>
        <w:tab w:val="num" w:pos="576"/>
      </w:tabs>
      <w:spacing w:before="280" w:after="280"/>
      <w:ind w:left="576" w:hanging="576"/>
      <w:outlineLvl w:val="1"/>
    </w:pPr>
    <w:rPr>
      <w:rFonts w:ascii="Verdana" w:hAnsi="Verdana"/>
      <w:b/>
      <w:bCs/>
      <w:color w:val="auto"/>
      <w:sz w:val="26"/>
      <w:szCs w:val="26"/>
    </w:rPr>
  </w:style>
  <w:style w:type="paragraph" w:styleId="Heading3">
    <w:name w:val="heading 3"/>
    <w:basedOn w:val="Normal"/>
    <w:next w:val="BodyText"/>
    <w:link w:val="Heading3Char"/>
    <w:uiPriority w:val="9"/>
    <w:qFormat/>
    <w:pPr>
      <w:tabs>
        <w:tab w:val="num" w:pos="720"/>
      </w:tabs>
      <w:spacing w:before="280" w:after="280"/>
      <w:ind w:left="720" w:hanging="720"/>
      <w:outlineLvl w:val="2"/>
    </w:pPr>
    <w:rPr>
      <w:rFonts w:ascii="Verdana" w:hAnsi="Verdana"/>
      <w:b/>
      <w:bCs/>
      <w:color w:val="auto"/>
      <w:sz w:val="26"/>
      <w:szCs w:val="26"/>
    </w:rPr>
  </w:style>
  <w:style w:type="paragraph" w:styleId="Heading4">
    <w:name w:val="heading 4"/>
    <w:basedOn w:val="Normal"/>
    <w:next w:val="Normal"/>
    <w:link w:val="Heading4Char"/>
    <w:uiPriority w:val="9"/>
    <w:qFormat/>
    <w:pPr>
      <w:keepNext/>
      <w:tabs>
        <w:tab w:val="num" w:pos="864"/>
      </w:tabs>
      <w:ind w:left="864" w:hanging="864"/>
      <w:jc w:val="center"/>
      <w:outlineLvl w:val="3"/>
    </w:pPr>
    <w:rPr>
      <w:sz w:val="32"/>
    </w:rPr>
  </w:style>
  <w:style w:type="paragraph" w:styleId="Heading5">
    <w:name w:val="heading 5"/>
    <w:basedOn w:val="Normal"/>
    <w:next w:val="BodyText"/>
    <w:link w:val="Heading5Char"/>
    <w:uiPriority w:val="9"/>
    <w:qFormat/>
    <w:pPr>
      <w:tabs>
        <w:tab w:val="num" w:pos="1008"/>
      </w:tabs>
      <w:spacing w:before="280" w:after="280"/>
      <w:ind w:left="1008" w:hanging="1008"/>
      <w:jc w:val="center"/>
      <w:outlineLvl w:val="4"/>
    </w:pPr>
    <w:rPr>
      <w:rFonts w:ascii="Verdana" w:hAnsi="Verdana"/>
      <w:b/>
      <w:bCs/>
      <w:color w:val="7A012E"/>
      <w:sz w:val="36"/>
      <w:szCs w:val="36"/>
    </w:rPr>
  </w:style>
  <w:style w:type="paragraph" w:styleId="Heading6">
    <w:name w:val="heading 6"/>
    <w:basedOn w:val="Normal"/>
    <w:next w:val="Normal"/>
    <w:qFormat/>
    <w:pPr>
      <w:keepNext/>
      <w:tabs>
        <w:tab w:val="num" w:pos="1152"/>
      </w:tabs>
      <w:ind w:left="1152" w:hanging="1152"/>
      <w:jc w:val="center"/>
      <w:outlineLvl w:val="5"/>
    </w:pPr>
    <w:rPr>
      <w:b/>
      <w:bCs/>
      <w:sz w:val="36"/>
      <w:u w:val="single"/>
    </w:rPr>
  </w:style>
  <w:style w:type="paragraph" w:styleId="Heading7">
    <w:name w:val="heading 7"/>
    <w:basedOn w:val="Normal"/>
    <w:next w:val="Normal"/>
    <w:qFormat/>
    <w:pPr>
      <w:keepNext/>
      <w:tabs>
        <w:tab w:val="num" w:pos="1296"/>
      </w:tabs>
      <w:ind w:left="1296" w:hanging="1296"/>
      <w:outlineLvl w:val="6"/>
    </w:pPr>
    <w:rPr>
      <w:u w:val="single"/>
    </w:rPr>
  </w:style>
  <w:style w:type="paragraph" w:styleId="Heading9">
    <w:name w:val="heading 9"/>
    <w:basedOn w:val="Normal"/>
    <w:next w:val="Normal"/>
    <w:link w:val="Heading9Char1"/>
    <w:uiPriority w:val="9"/>
    <w:unhideWhenUsed/>
    <w:qFormat/>
    <w:pPr>
      <w:keepNext/>
      <w:keepLines/>
      <w:suppressAutoHyphens w:val="0"/>
      <w:spacing w:before="200" w:line="276" w:lineRule="auto"/>
      <w:outlineLvl w:val="8"/>
    </w:pPr>
    <w:rPr>
      <w:rFonts w:ascii="Cambria"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sz w:val="20"/>
    </w:rPr>
  </w:style>
  <w:style w:type="character" w:customStyle="1" w:styleId="WW8Num5z1">
    <w:name w:val="WW8Num5z1"/>
    <w:rPr>
      <w:rFonts w:ascii="Courier New" w:hAnsi="Courier New"/>
      <w:sz w:val="20"/>
    </w:rPr>
  </w:style>
  <w:style w:type="character" w:customStyle="1" w:styleId="WW8Num5z2">
    <w:name w:val="WW8Num5z2"/>
    <w:rPr>
      <w:rFonts w:ascii="Wingdings" w:hAnsi="Wingdings"/>
      <w:sz w:val="20"/>
    </w:rPr>
  </w:style>
  <w:style w:type="character" w:customStyle="1" w:styleId="WW8Num6z0">
    <w:name w:val="WW8Num6z0"/>
    <w:rPr>
      <w:rFonts w:ascii="Symbol" w:hAnsi="Symbol"/>
      <w:sz w:val="20"/>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sz w:val="20"/>
    </w:rPr>
  </w:style>
  <w:style w:type="character" w:customStyle="1" w:styleId="WW8Num8z1">
    <w:name w:val="WW8Num8z1"/>
    <w:rPr>
      <w:rFonts w:ascii="Courier New" w:hAnsi="Courier New"/>
      <w:sz w:val="20"/>
    </w:rPr>
  </w:style>
  <w:style w:type="character" w:customStyle="1" w:styleId="WW8Num8z2">
    <w:name w:val="WW8Num8z2"/>
    <w:rPr>
      <w:rFonts w:ascii="Wingdings" w:hAnsi="Wingdings"/>
      <w:sz w:val="20"/>
    </w:rPr>
  </w:style>
  <w:style w:type="character" w:customStyle="1" w:styleId="WW8Num9z0">
    <w:name w:val="WW8Num9z0"/>
    <w:rPr>
      <w:rFonts w:ascii="Symbol" w:hAnsi="Symbol"/>
      <w:sz w:val="20"/>
    </w:rPr>
  </w:style>
  <w:style w:type="character" w:customStyle="1" w:styleId="WW8Num9z1">
    <w:name w:val="WW8Num9z1"/>
    <w:rPr>
      <w:rFonts w:ascii="Courier New" w:hAnsi="Courier New"/>
      <w:sz w:val="20"/>
    </w:rPr>
  </w:style>
  <w:style w:type="character" w:customStyle="1" w:styleId="WW8Num9z2">
    <w:name w:val="WW8Num9z2"/>
    <w:rPr>
      <w:rFonts w:ascii="Wingdings" w:hAnsi="Wingdings"/>
      <w:sz w:val="20"/>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sz w:val="20"/>
    </w:rPr>
  </w:style>
  <w:style w:type="character" w:customStyle="1" w:styleId="WW8Num14z1">
    <w:name w:val="WW8Num14z1"/>
    <w:rPr>
      <w:rFonts w:ascii="Courier New" w:hAnsi="Courier New"/>
      <w:sz w:val="20"/>
    </w:rPr>
  </w:style>
  <w:style w:type="character" w:customStyle="1" w:styleId="WW8Num14z2">
    <w:name w:val="WW8Num14z2"/>
    <w:rPr>
      <w:rFonts w:ascii="Wingdings" w:hAnsi="Wingdings"/>
      <w:sz w:val="20"/>
    </w:rPr>
  </w:style>
  <w:style w:type="character" w:customStyle="1" w:styleId="WW8Num15z0">
    <w:name w:val="WW8Num15z0"/>
    <w:rPr>
      <w:rFonts w:ascii="Symbol" w:hAnsi="Symbol"/>
      <w:sz w:val="20"/>
    </w:rPr>
  </w:style>
  <w:style w:type="character" w:customStyle="1" w:styleId="WW8Num15z1">
    <w:name w:val="WW8Num15z1"/>
    <w:rPr>
      <w:rFonts w:ascii="Courier New" w:hAnsi="Courier New"/>
      <w:sz w:val="20"/>
    </w:rPr>
  </w:style>
  <w:style w:type="character" w:customStyle="1" w:styleId="WW8Num15z2">
    <w:name w:val="WW8Num15z2"/>
    <w:rPr>
      <w:rFonts w:ascii="Wingdings" w:hAnsi="Wingdings"/>
      <w:sz w:val="20"/>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link w:val="BodyTextChar"/>
    <w:uiPriority w:val="99"/>
    <w:qFormat/>
    <w:pPr>
      <w:jc w:val="center"/>
    </w:pPr>
    <w:rPr>
      <w:b/>
      <w:bCs/>
      <w:sz w:val="72"/>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spacing w:before="280" w:after="280"/>
    </w:pPr>
    <w:rPr>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sz w:val="16"/>
      <w:szCs w:val="16"/>
      <w:lang w:eastAsia="ar-SA"/>
    </w:rPr>
  </w:style>
  <w:style w:type="paragraph" w:styleId="Header">
    <w:name w:val="header"/>
    <w:basedOn w:val="Normal"/>
    <w:link w:val="HeaderChar"/>
    <w:uiPriority w:val="99"/>
    <w:unhideWhenUsed/>
    <w:pPr>
      <w:tabs>
        <w:tab w:val="center" w:pos="4320"/>
        <w:tab w:val="right" w:pos="8640"/>
      </w:tabs>
      <w:suppressAutoHyphens w:val="0"/>
    </w:pPr>
    <w:rPr>
      <w:color w:val="auto"/>
      <w:lang w:eastAsia="en-US"/>
    </w:r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color w:val="000000"/>
      <w:sz w:val="24"/>
      <w:szCs w:val="24"/>
      <w:lang w:eastAsia="ar-SA"/>
    </w:rPr>
  </w:style>
  <w:style w:type="paragraph" w:styleId="ListParagraph">
    <w:name w:val="List Paragraph"/>
    <w:basedOn w:val="Normal"/>
    <w:uiPriority w:val="34"/>
    <w:qFormat/>
    <w:pPr>
      <w:suppressAutoHyphens w:val="0"/>
      <w:spacing w:after="200" w:line="276" w:lineRule="auto"/>
      <w:ind w:left="720"/>
      <w:contextualSpacing/>
    </w:pPr>
    <w:rPr>
      <w:rFonts w:ascii="Calibri" w:eastAsia="Calibri" w:hAnsi="Calibri"/>
      <w:color w:val="auto"/>
      <w:sz w:val="22"/>
      <w:szCs w:val="22"/>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c10">
    <w:name w:val="c10"/>
  </w:style>
  <w:style w:type="character" w:customStyle="1" w:styleId="c9">
    <w:name w:val="c9"/>
  </w:style>
  <w:style w:type="character" w:customStyle="1" w:styleId="Heading9Char">
    <w:name w:val="Heading 9 Char"/>
    <w:link w:val="Heading91"/>
    <w:uiPriority w:val="9"/>
    <w:rPr>
      <w:rFonts w:ascii="Cambria" w:eastAsia="Times New Roman" w:hAnsi="Cambria" w:cs="Times New Roman"/>
      <w:color w:val="000000"/>
      <w:sz w:val="22"/>
      <w:szCs w:val="22"/>
      <w:lang w:eastAsia="ar-SA"/>
    </w:rPr>
  </w:style>
  <w:style w:type="numbering" w:customStyle="1" w:styleId="NoList1">
    <w:name w:val="No List1"/>
    <w:next w:val="NoList"/>
    <w:uiPriority w:val="99"/>
    <w:semiHidden/>
    <w:unhideWhenUsed/>
  </w:style>
  <w:style w:type="paragraph" w:customStyle="1" w:styleId="Heading11">
    <w:name w:val="Heading 11"/>
    <w:basedOn w:val="Normal"/>
    <w:next w:val="Normal"/>
    <w:link w:val="Heading1Char"/>
    <w:uiPriority w:val="9"/>
    <w:qFormat/>
    <w:pPr>
      <w:keepNext/>
      <w:keepLines/>
      <w:suppressAutoHyphens w:val="0"/>
      <w:spacing w:before="80" w:after="80" w:line="276" w:lineRule="auto"/>
      <w:outlineLvl w:val="0"/>
    </w:pPr>
    <w:rPr>
      <w:rFonts w:ascii="Calibri" w:hAnsi="Calibri" w:cs="Calibri"/>
      <w:b/>
      <w:bCs/>
      <w:color w:val="003366"/>
      <w:sz w:val="40"/>
      <w:szCs w:val="28"/>
      <w:lang w:eastAsia="en-US"/>
    </w:rPr>
  </w:style>
  <w:style w:type="paragraph" w:customStyle="1" w:styleId="Heading21">
    <w:name w:val="Heading 21"/>
    <w:basedOn w:val="Heading1"/>
    <w:next w:val="Normal"/>
    <w:link w:val="Heading2Char"/>
    <w:uiPriority w:val="9"/>
    <w:unhideWhenUsed/>
    <w:qFormat/>
    <w:pPr>
      <w:keepNext/>
      <w:keepLines/>
      <w:tabs>
        <w:tab w:val="clear" w:pos="432"/>
      </w:tabs>
      <w:suppressAutoHyphens w:val="0"/>
      <w:spacing w:before="80" w:after="80" w:line="276" w:lineRule="auto"/>
      <w:ind w:left="0" w:firstLine="0"/>
      <w:outlineLvl w:val="1"/>
    </w:pPr>
    <w:rPr>
      <w:rFonts w:ascii="Calibri" w:hAnsi="Calibri"/>
      <w:b/>
      <w:color w:val="003366"/>
      <w:kern w:val="0"/>
      <w:sz w:val="28"/>
      <w:szCs w:val="28"/>
      <w:lang w:eastAsia="en-US"/>
    </w:rPr>
  </w:style>
  <w:style w:type="character" w:customStyle="1" w:styleId="Heading3Char">
    <w:name w:val="Heading 3 Char"/>
    <w:link w:val="Heading3"/>
    <w:uiPriority w:val="9"/>
    <w:rPr>
      <w:rFonts w:ascii="Verdana" w:hAnsi="Verdana"/>
      <w:b/>
      <w:bCs/>
      <w:sz w:val="26"/>
      <w:szCs w:val="26"/>
      <w:lang w:eastAsia="ar-SA"/>
    </w:rPr>
  </w:style>
  <w:style w:type="paragraph" w:customStyle="1" w:styleId="Heading41">
    <w:name w:val="Heading 41"/>
    <w:basedOn w:val="Normal"/>
    <w:next w:val="Normal"/>
    <w:uiPriority w:val="9"/>
    <w:unhideWhenUsed/>
    <w:locked/>
    <w:pPr>
      <w:keepNext/>
      <w:keepLines/>
      <w:suppressAutoHyphens w:val="0"/>
      <w:spacing w:before="240" w:after="120" w:line="276" w:lineRule="auto"/>
      <w:outlineLvl w:val="3"/>
    </w:pPr>
    <w:rPr>
      <w:rFonts w:ascii="Calibri" w:hAnsi="Calibri"/>
      <w:b/>
      <w:bCs/>
      <w:iCs/>
      <w:color w:val="auto"/>
      <w:sz w:val="22"/>
      <w:szCs w:val="22"/>
      <w:lang w:val="en-US" w:eastAsia="en-US"/>
    </w:rPr>
  </w:style>
  <w:style w:type="paragraph" w:customStyle="1" w:styleId="Heading51">
    <w:name w:val="Heading 51"/>
    <w:basedOn w:val="Normal"/>
    <w:next w:val="Normal"/>
    <w:uiPriority w:val="9"/>
    <w:unhideWhenUsed/>
    <w:locked/>
    <w:pPr>
      <w:keepNext/>
      <w:keepLines/>
      <w:suppressAutoHyphens w:val="0"/>
      <w:spacing w:before="200" w:after="200" w:line="276" w:lineRule="auto"/>
      <w:outlineLvl w:val="4"/>
    </w:pPr>
    <w:rPr>
      <w:rFonts w:ascii="Cambria" w:hAnsi="Cambria"/>
      <w:color w:val="4A114B"/>
      <w:sz w:val="22"/>
      <w:szCs w:val="22"/>
      <w:lang w:val="en-US" w:eastAsia="en-US"/>
    </w:rPr>
  </w:style>
  <w:style w:type="paragraph" w:customStyle="1" w:styleId="Heading91">
    <w:name w:val="Heading 91"/>
    <w:basedOn w:val="Normal"/>
    <w:next w:val="Heading9"/>
    <w:link w:val="Heading9Char"/>
    <w:uiPriority w:val="9"/>
    <w:unhideWhenUsed/>
    <w:locked/>
    <w:pPr>
      <w:keepNext/>
      <w:keepLines/>
      <w:suppressAutoHyphens w:val="0"/>
      <w:spacing w:after="200" w:line="276" w:lineRule="auto"/>
      <w:outlineLvl w:val="8"/>
    </w:pPr>
    <w:rPr>
      <w:rFonts w:ascii="Cambria" w:hAnsi="Cambria"/>
      <w:sz w:val="22"/>
      <w:szCs w:val="22"/>
    </w:rPr>
  </w:style>
  <w:style w:type="numbering" w:customStyle="1" w:styleId="NoList11">
    <w:name w:val="No List11"/>
    <w:next w:val="NoList"/>
    <w:uiPriority w:val="99"/>
    <w:semiHidden/>
    <w:unhideWhenUsed/>
  </w:style>
  <w:style w:type="table" w:styleId="TableGrid">
    <w:name w:val="Table Grid"/>
    <w:basedOn w:val="TableNormal"/>
    <w:uiPriority w:val="59"/>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1"/>
    <w:uiPriority w:val="9"/>
    <w:rPr>
      <w:rFonts w:ascii="Calibri" w:hAnsi="Calibri"/>
      <w:b/>
      <w:color w:val="003366"/>
      <w:sz w:val="28"/>
      <w:szCs w:val="28"/>
      <w:lang w:eastAsia="en-US"/>
    </w:rPr>
  </w:style>
  <w:style w:type="character" w:customStyle="1" w:styleId="Heading1Char">
    <w:name w:val="Heading 1 Char"/>
    <w:link w:val="Heading11"/>
    <w:uiPriority w:val="9"/>
    <w:rPr>
      <w:rFonts w:ascii="Calibri" w:hAnsi="Calibri" w:cs="Calibri"/>
      <w:b/>
      <w:bCs/>
      <w:color w:val="003366"/>
      <w:sz w:val="40"/>
      <w:szCs w:val="28"/>
      <w:lang w:eastAsia="en-US"/>
    </w:rPr>
  </w:style>
  <w:style w:type="character" w:customStyle="1" w:styleId="Heading4Char">
    <w:name w:val="Heading 4 Char"/>
    <w:link w:val="Heading4"/>
    <w:uiPriority w:val="9"/>
    <w:rPr>
      <w:color w:val="000000"/>
      <w:sz w:val="32"/>
      <w:szCs w:val="24"/>
      <w:lang w:eastAsia="ar-SA"/>
    </w:rPr>
  </w:style>
  <w:style w:type="paragraph" w:customStyle="1" w:styleId="TOCHeading1">
    <w:name w:val="TOC Heading1"/>
    <w:basedOn w:val="Normal"/>
    <w:next w:val="Normal"/>
    <w:uiPriority w:val="39"/>
    <w:unhideWhenUsed/>
    <w:pPr>
      <w:suppressAutoHyphens w:val="0"/>
      <w:spacing w:after="200" w:line="276" w:lineRule="auto"/>
    </w:pPr>
    <w:rPr>
      <w:rFonts w:ascii="Calibri" w:hAnsi="Calibri"/>
      <w:b/>
      <w:color w:val="auto"/>
      <w:sz w:val="40"/>
      <w:szCs w:val="22"/>
      <w:lang w:val="en-US" w:eastAsia="ja-JP"/>
    </w:rPr>
  </w:style>
  <w:style w:type="character" w:customStyle="1" w:styleId="Hyperlink1">
    <w:name w:val="Hyperlink1"/>
    <w:uiPriority w:val="99"/>
    <w:unhideWhenUsed/>
    <w:rPr>
      <w:color w:val="858585"/>
      <w:u w:val="single"/>
    </w:rPr>
  </w:style>
  <w:style w:type="character" w:customStyle="1" w:styleId="Heading5Char">
    <w:name w:val="Heading 5 Char"/>
    <w:link w:val="Heading5"/>
    <w:uiPriority w:val="9"/>
    <w:rPr>
      <w:rFonts w:ascii="Verdana" w:hAnsi="Verdana"/>
      <w:b/>
      <w:bCs/>
      <w:color w:val="7A012E"/>
      <w:sz w:val="36"/>
      <w:szCs w:val="36"/>
      <w:lang w:eastAsia="ar-SA"/>
    </w:rPr>
  </w:style>
  <w:style w:type="paragraph" w:customStyle="1" w:styleId="TOCPage">
    <w:name w:val="TOC Page"/>
    <w:basedOn w:val="TOCHeading"/>
    <w:pPr>
      <w:keepNext w:val="0"/>
      <w:keepLines w:val="0"/>
      <w:spacing w:before="0" w:after="200"/>
      <w:jc w:val="right"/>
    </w:pPr>
    <w:rPr>
      <w:rFonts w:ascii="Calibri" w:hAnsi="Calibri"/>
      <w:bCs w:val="0"/>
      <w:color w:val="auto"/>
      <w:szCs w:val="22"/>
      <w:lang w:val="en-US" w:eastAsia="ja-JP"/>
    </w:rPr>
  </w:style>
  <w:style w:type="character" w:customStyle="1" w:styleId="BodyTextChar">
    <w:name w:val="Body Text Char"/>
    <w:link w:val="BodyText"/>
    <w:uiPriority w:val="99"/>
    <w:rPr>
      <w:b/>
      <w:bCs/>
      <w:color w:val="000000"/>
      <w:sz w:val="72"/>
      <w:szCs w:val="24"/>
      <w:lang w:eastAsia="ar-SA"/>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numbering" w:customStyle="1" w:styleId="Style3">
    <w:name w:val="Style3"/>
    <w:uiPriority w:val="99"/>
    <w:pPr>
      <w:numPr>
        <w:numId w:val="19"/>
      </w:numPr>
    </w:pPr>
  </w:style>
  <w:style w:type="numbering" w:customStyle="1" w:styleId="Style4">
    <w:name w:val="Style4"/>
    <w:uiPriority w:val="99"/>
    <w:pPr>
      <w:numPr>
        <w:numId w:val="20"/>
      </w:numPr>
    </w:pPr>
  </w:style>
  <w:style w:type="numbering" w:customStyle="1" w:styleId="Style5">
    <w:name w:val="Style5"/>
    <w:uiPriority w:val="99"/>
    <w:pPr>
      <w:numPr>
        <w:numId w:val="21"/>
      </w:numPr>
    </w:pPr>
  </w:style>
  <w:style w:type="numbering" w:customStyle="1" w:styleId="Style6">
    <w:name w:val="Style6"/>
    <w:uiPriority w:val="99"/>
    <w:pPr>
      <w:numPr>
        <w:numId w:val="22"/>
      </w:numPr>
    </w:pPr>
  </w:style>
  <w:style w:type="character" w:customStyle="1" w:styleId="Heading1Char1">
    <w:name w:val="Heading 1 Char1"/>
    <w:link w:val="Heading1"/>
    <w:uiPriority w:val="9"/>
    <w:rPr>
      <w:rFonts w:ascii="Verdana" w:hAnsi="Verdana"/>
      <w:kern w:val="1"/>
      <w:sz w:val="22"/>
      <w:szCs w:val="22"/>
      <w:lang w:eastAsia="ar-SA"/>
    </w:rPr>
  </w:style>
  <w:style w:type="character" w:customStyle="1" w:styleId="Heading2Char1">
    <w:name w:val="Heading 2 Char1"/>
    <w:link w:val="Heading2"/>
    <w:uiPriority w:val="9"/>
    <w:rPr>
      <w:rFonts w:ascii="Verdana" w:hAnsi="Verdana"/>
      <w:b/>
      <w:bCs/>
      <w:sz w:val="26"/>
      <w:szCs w:val="26"/>
      <w:lang w:eastAsia="ar-SA"/>
    </w:rPr>
  </w:style>
  <w:style w:type="character" w:customStyle="1" w:styleId="Heading9Char1">
    <w:name w:val="Heading 9 Char1"/>
    <w:link w:val="Heading9"/>
    <w:uiPriority w:val="9"/>
    <w:rPr>
      <w:rFonts w:ascii="Cambria" w:hAnsi="Cambria"/>
      <w:i/>
      <w:iCs/>
      <w:color w:val="404040"/>
      <w:lang w:eastAsia="en-US"/>
    </w:rPr>
  </w:style>
  <w:style w:type="character" w:customStyle="1" w:styleId="Heading4Char1">
    <w:name w:val="Heading 4 Char1"/>
    <w:uiPriority w:val="9"/>
    <w:semiHidden/>
    <w:rPr>
      <w:rFonts w:ascii="Cambria" w:eastAsia="Times New Roman" w:hAnsi="Cambria" w:cs="Times New Roman"/>
      <w:b/>
      <w:bCs/>
      <w:i/>
      <w:iCs/>
      <w:color w:val="4F81BD"/>
    </w:rPr>
  </w:style>
  <w:style w:type="character" w:styleId="Hyperlink">
    <w:name w:val="Hyperlink"/>
    <w:uiPriority w:val="99"/>
    <w:unhideWhenUsed/>
    <w:rPr>
      <w:color w:val="0000FF"/>
      <w:u w:val="single"/>
    </w:rPr>
  </w:style>
  <w:style w:type="character" w:customStyle="1" w:styleId="Heading5Char1">
    <w:name w:val="Heading 5 Char1"/>
    <w:uiPriority w:val="9"/>
    <w:semiHidden/>
    <w:rPr>
      <w:rFonts w:ascii="Cambria" w:eastAsia="Times New Roman" w:hAnsi="Cambria" w:cs="Times New Roman"/>
      <w:color w:val="243F60"/>
    </w:rPr>
  </w:style>
  <w:style w:type="paragraph" w:styleId="TOCHeading">
    <w:name w:val="TOC Heading"/>
    <w:basedOn w:val="Heading1"/>
    <w:next w:val="Normal"/>
    <w:uiPriority w:val="39"/>
    <w:unhideWhenUsed/>
    <w:qFormat/>
    <w:pPr>
      <w:keepNext/>
      <w:keepLines/>
      <w:tabs>
        <w:tab w:val="clear" w:pos="432"/>
      </w:tabs>
      <w:suppressAutoHyphens w:val="0"/>
      <w:spacing w:before="480" w:after="0" w:line="276" w:lineRule="auto"/>
      <w:ind w:left="0" w:firstLine="0"/>
      <w:outlineLvl w:val="9"/>
    </w:pPr>
    <w:rPr>
      <w:rFonts w:ascii="Cambria" w:hAnsi="Cambria"/>
      <w:b/>
      <w:bCs/>
      <w:color w:val="365F91"/>
      <w:kern w:val="0"/>
      <w:sz w:val="28"/>
      <w:szCs w:val="28"/>
      <w:lang w:eastAsia="en-US"/>
    </w:rPr>
  </w:style>
  <w:style w:type="numbering" w:customStyle="1" w:styleId="Style51">
    <w:name w:val="Style51"/>
    <w:uiPriority w:val="99"/>
  </w:style>
  <w:style w:type="numbering" w:customStyle="1" w:styleId="NoList2">
    <w:name w:val="No List2"/>
    <w:next w:val="NoList"/>
    <w:uiPriority w:val="99"/>
    <w:semiHidden/>
    <w:unhideWhenUsed/>
  </w:style>
  <w:style w:type="numbering" w:customStyle="1" w:styleId="Style11">
    <w:name w:val="Style11"/>
    <w:uiPriority w:val="99"/>
    <w:pPr>
      <w:numPr>
        <w:numId w:val="6"/>
      </w:numPr>
    </w:pPr>
  </w:style>
  <w:style w:type="numbering" w:customStyle="1" w:styleId="Style21">
    <w:name w:val="Style21"/>
    <w:uiPriority w:val="99"/>
    <w:pPr>
      <w:numPr>
        <w:numId w:val="7"/>
      </w:numPr>
    </w:pPr>
  </w:style>
  <w:style w:type="numbering" w:customStyle="1" w:styleId="Style31">
    <w:name w:val="Style31"/>
    <w:uiPriority w:val="99"/>
    <w:pPr>
      <w:numPr>
        <w:numId w:val="11"/>
      </w:numPr>
    </w:pPr>
  </w:style>
  <w:style w:type="numbering" w:customStyle="1" w:styleId="Style41">
    <w:name w:val="Style41"/>
    <w:uiPriority w:val="99"/>
    <w:pPr>
      <w:numPr>
        <w:numId w:val="12"/>
      </w:numPr>
    </w:pPr>
  </w:style>
  <w:style w:type="numbering" w:customStyle="1" w:styleId="Style52">
    <w:name w:val="Style52"/>
    <w:uiPriority w:val="99"/>
    <w:pPr>
      <w:numPr>
        <w:numId w:val="13"/>
      </w:numPr>
    </w:pPr>
  </w:style>
  <w:style w:type="numbering" w:customStyle="1" w:styleId="Style61">
    <w:name w:val="Style61"/>
    <w:uiPriority w:val="99"/>
    <w:pPr>
      <w:numPr>
        <w:numId w:val="15"/>
      </w:numPr>
    </w:pPr>
  </w:style>
  <w:style w:type="numbering" w:customStyle="1" w:styleId="Style53">
    <w:name w:val="Style53"/>
    <w:uiPriority w:val="99"/>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color w:val="000000"/>
      <w:sz w:val="24"/>
      <w:szCs w:val="24"/>
      <w:lang w:eastAsia="ar-SA"/>
    </w:rPr>
  </w:style>
  <w:style w:type="paragraph" w:styleId="Heading1">
    <w:name w:val="heading 1"/>
    <w:basedOn w:val="Normal"/>
    <w:next w:val="BodyText"/>
    <w:link w:val="Heading1Char1"/>
    <w:uiPriority w:val="9"/>
    <w:qFormat/>
    <w:pPr>
      <w:tabs>
        <w:tab w:val="num" w:pos="432"/>
      </w:tabs>
      <w:spacing w:before="280" w:after="280"/>
      <w:ind w:left="432" w:hanging="432"/>
      <w:outlineLvl w:val="0"/>
    </w:pPr>
    <w:rPr>
      <w:rFonts w:ascii="Verdana" w:hAnsi="Verdana"/>
      <w:color w:val="auto"/>
      <w:kern w:val="1"/>
      <w:sz w:val="22"/>
      <w:szCs w:val="22"/>
    </w:rPr>
  </w:style>
  <w:style w:type="paragraph" w:styleId="Heading2">
    <w:name w:val="heading 2"/>
    <w:basedOn w:val="Normal"/>
    <w:next w:val="BodyText"/>
    <w:link w:val="Heading2Char1"/>
    <w:uiPriority w:val="9"/>
    <w:qFormat/>
    <w:pPr>
      <w:keepNext/>
      <w:tabs>
        <w:tab w:val="num" w:pos="576"/>
      </w:tabs>
      <w:spacing w:before="280" w:after="280"/>
      <w:ind w:left="576" w:hanging="576"/>
      <w:outlineLvl w:val="1"/>
    </w:pPr>
    <w:rPr>
      <w:rFonts w:ascii="Verdana" w:hAnsi="Verdana"/>
      <w:b/>
      <w:bCs/>
      <w:color w:val="auto"/>
      <w:sz w:val="26"/>
      <w:szCs w:val="26"/>
    </w:rPr>
  </w:style>
  <w:style w:type="paragraph" w:styleId="Heading3">
    <w:name w:val="heading 3"/>
    <w:basedOn w:val="Normal"/>
    <w:next w:val="BodyText"/>
    <w:link w:val="Heading3Char"/>
    <w:uiPriority w:val="9"/>
    <w:qFormat/>
    <w:pPr>
      <w:tabs>
        <w:tab w:val="num" w:pos="720"/>
      </w:tabs>
      <w:spacing w:before="280" w:after="280"/>
      <w:ind w:left="720" w:hanging="720"/>
      <w:outlineLvl w:val="2"/>
    </w:pPr>
    <w:rPr>
      <w:rFonts w:ascii="Verdana" w:hAnsi="Verdana"/>
      <w:b/>
      <w:bCs/>
      <w:color w:val="auto"/>
      <w:sz w:val="26"/>
      <w:szCs w:val="26"/>
    </w:rPr>
  </w:style>
  <w:style w:type="paragraph" w:styleId="Heading4">
    <w:name w:val="heading 4"/>
    <w:basedOn w:val="Normal"/>
    <w:next w:val="Normal"/>
    <w:link w:val="Heading4Char"/>
    <w:uiPriority w:val="9"/>
    <w:qFormat/>
    <w:pPr>
      <w:keepNext/>
      <w:tabs>
        <w:tab w:val="num" w:pos="864"/>
      </w:tabs>
      <w:ind w:left="864" w:hanging="864"/>
      <w:jc w:val="center"/>
      <w:outlineLvl w:val="3"/>
    </w:pPr>
    <w:rPr>
      <w:sz w:val="32"/>
    </w:rPr>
  </w:style>
  <w:style w:type="paragraph" w:styleId="Heading5">
    <w:name w:val="heading 5"/>
    <w:basedOn w:val="Normal"/>
    <w:next w:val="BodyText"/>
    <w:link w:val="Heading5Char"/>
    <w:uiPriority w:val="9"/>
    <w:qFormat/>
    <w:pPr>
      <w:tabs>
        <w:tab w:val="num" w:pos="1008"/>
      </w:tabs>
      <w:spacing w:before="280" w:after="280"/>
      <w:ind w:left="1008" w:hanging="1008"/>
      <w:jc w:val="center"/>
      <w:outlineLvl w:val="4"/>
    </w:pPr>
    <w:rPr>
      <w:rFonts w:ascii="Verdana" w:hAnsi="Verdana"/>
      <w:b/>
      <w:bCs/>
      <w:color w:val="7A012E"/>
      <w:sz w:val="36"/>
      <w:szCs w:val="36"/>
    </w:rPr>
  </w:style>
  <w:style w:type="paragraph" w:styleId="Heading6">
    <w:name w:val="heading 6"/>
    <w:basedOn w:val="Normal"/>
    <w:next w:val="Normal"/>
    <w:qFormat/>
    <w:pPr>
      <w:keepNext/>
      <w:tabs>
        <w:tab w:val="num" w:pos="1152"/>
      </w:tabs>
      <w:ind w:left="1152" w:hanging="1152"/>
      <w:jc w:val="center"/>
      <w:outlineLvl w:val="5"/>
    </w:pPr>
    <w:rPr>
      <w:b/>
      <w:bCs/>
      <w:sz w:val="36"/>
      <w:u w:val="single"/>
    </w:rPr>
  </w:style>
  <w:style w:type="paragraph" w:styleId="Heading7">
    <w:name w:val="heading 7"/>
    <w:basedOn w:val="Normal"/>
    <w:next w:val="Normal"/>
    <w:qFormat/>
    <w:pPr>
      <w:keepNext/>
      <w:tabs>
        <w:tab w:val="num" w:pos="1296"/>
      </w:tabs>
      <w:ind w:left="1296" w:hanging="1296"/>
      <w:outlineLvl w:val="6"/>
    </w:pPr>
    <w:rPr>
      <w:u w:val="single"/>
    </w:rPr>
  </w:style>
  <w:style w:type="paragraph" w:styleId="Heading9">
    <w:name w:val="heading 9"/>
    <w:basedOn w:val="Normal"/>
    <w:next w:val="Normal"/>
    <w:link w:val="Heading9Char1"/>
    <w:uiPriority w:val="9"/>
    <w:unhideWhenUsed/>
    <w:qFormat/>
    <w:pPr>
      <w:keepNext/>
      <w:keepLines/>
      <w:suppressAutoHyphens w:val="0"/>
      <w:spacing w:before="200" w:line="276" w:lineRule="auto"/>
      <w:outlineLvl w:val="8"/>
    </w:pPr>
    <w:rPr>
      <w:rFonts w:ascii="Cambria"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sz w:val="20"/>
    </w:rPr>
  </w:style>
  <w:style w:type="character" w:customStyle="1" w:styleId="WW8Num5z1">
    <w:name w:val="WW8Num5z1"/>
    <w:rPr>
      <w:rFonts w:ascii="Courier New" w:hAnsi="Courier New"/>
      <w:sz w:val="20"/>
    </w:rPr>
  </w:style>
  <w:style w:type="character" w:customStyle="1" w:styleId="WW8Num5z2">
    <w:name w:val="WW8Num5z2"/>
    <w:rPr>
      <w:rFonts w:ascii="Wingdings" w:hAnsi="Wingdings"/>
      <w:sz w:val="20"/>
    </w:rPr>
  </w:style>
  <w:style w:type="character" w:customStyle="1" w:styleId="WW8Num6z0">
    <w:name w:val="WW8Num6z0"/>
    <w:rPr>
      <w:rFonts w:ascii="Symbol" w:hAnsi="Symbol"/>
      <w:sz w:val="20"/>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sz w:val="20"/>
    </w:rPr>
  </w:style>
  <w:style w:type="character" w:customStyle="1" w:styleId="WW8Num8z1">
    <w:name w:val="WW8Num8z1"/>
    <w:rPr>
      <w:rFonts w:ascii="Courier New" w:hAnsi="Courier New"/>
      <w:sz w:val="20"/>
    </w:rPr>
  </w:style>
  <w:style w:type="character" w:customStyle="1" w:styleId="WW8Num8z2">
    <w:name w:val="WW8Num8z2"/>
    <w:rPr>
      <w:rFonts w:ascii="Wingdings" w:hAnsi="Wingdings"/>
      <w:sz w:val="20"/>
    </w:rPr>
  </w:style>
  <w:style w:type="character" w:customStyle="1" w:styleId="WW8Num9z0">
    <w:name w:val="WW8Num9z0"/>
    <w:rPr>
      <w:rFonts w:ascii="Symbol" w:hAnsi="Symbol"/>
      <w:sz w:val="20"/>
    </w:rPr>
  </w:style>
  <w:style w:type="character" w:customStyle="1" w:styleId="WW8Num9z1">
    <w:name w:val="WW8Num9z1"/>
    <w:rPr>
      <w:rFonts w:ascii="Courier New" w:hAnsi="Courier New"/>
      <w:sz w:val="20"/>
    </w:rPr>
  </w:style>
  <w:style w:type="character" w:customStyle="1" w:styleId="WW8Num9z2">
    <w:name w:val="WW8Num9z2"/>
    <w:rPr>
      <w:rFonts w:ascii="Wingdings" w:hAnsi="Wingdings"/>
      <w:sz w:val="20"/>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sz w:val="20"/>
    </w:rPr>
  </w:style>
  <w:style w:type="character" w:customStyle="1" w:styleId="WW8Num14z1">
    <w:name w:val="WW8Num14z1"/>
    <w:rPr>
      <w:rFonts w:ascii="Courier New" w:hAnsi="Courier New"/>
      <w:sz w:val="20"/>
    </w:rPr>
  </w:style>
  <w:style w:type="character" w:customStyle="1" w:styleId="WW8Num14z2">
    <w:name w:val="WW8Num14z2"/>
    <w:rPr>
      <w:rFonts w:ascii="Wingdings" w:hAnsi="Wingdings"/>
      <w:sz w:val="20"/>
    </w:rPr>
  </w:style>
  <w:style w:type="character" w:customStyle="1" w:styleId="WW8Num15z0">
    <w:name w:val="WW8Num15z0"/>
    <w:rPr>
      <w:rFonts w:ascii="Symbol" w:hAnsi="Symbol"/>
      <w:sz w:val="20"/>
    </w:rPr>
  </w:style>
  <w:style w:type="character" w:customStyle="1" w:styleId="WW8Num15z1">
    <w:name w:val="WW8Num15z1"/>
    <w:rPr>
      <w:rFonts w:ascii="Courier New" w:hAnsi="Courier New"/>
      <w:sz w:val="20"/>
    </w:rPr>
  </w:style>
  <w:style w:type="character" w:customStyle="1" w:styleId="WW8Num15z2">
    <w:name w:val="WW8Num15z2"/>
    <w:rPr>
      <w:rFonts w:ascii="Wingdings" w:hAnsi="Wingdings"/>
      <w:sz w:val="20"/>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link w:val="BodyTextChar"/>
    <w:uiPriority w:val="99"/>
    <w:qFormat/>
    <w:pPr>
      <w:jc w:val="center"/>
    </w:pPr>
    <w:rPr>
      <w:b/>
      <w:bCs/>
      <w:sz w:val="72"/>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spacing w:before="280" w:after="280"/>
    </w:pPr>
    <w:rPr>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sz w:val="16"/>
      <w:szCs w:val="16"/>
      <w:lang w:eastAsia="ar-SA"/>
    </w:rPr>
  </w:style>
  <w:style w:type="paragraph" w:styleId="Header">
    <w:name w:val="header"/>
    <w:basedOn w:val="Normal"/>
    <w:link w:val="HeaderChar"/>
    <w:uiPriority w:val="99"/>
    <w:unhideWhenUsed/>
    <w:pPr>
      <w:tabs>
        <w:tab w:val="center" w:pos="4320"/>
        <w:tab w:val="right" w:pos="8640"/>
      </w:tabs>
      <w:suppressAutoHyphens w:val="0"/>
    </w:pPr>
    <w:rPr>
      <w:color w:val="auto"/>
      <w:lang w:eastAsia="en-US"/>
    </w:r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color w:val="000000"/>
      <w:sz w:val="24"/>
      <w:szCs w:val="24"/>
      <w:lang w:eastAsia="ar-SA"/>
    </w:rPr>
  </w:style>
  <w:style w:type="paragraph" w:styleId="ListParagraph">
    <w:name w:val="List Paragraph"/>
    <w:basedOn w:val="Normal"/>
    <w:uiPriority w:val="34"/>
    <w:qFormat/>
    <w:pPr>
      <w:suppressAutoHyphens w:val="0"/>
      <w:spacing w:after="200" w:line="276" w:lineRule="auto"/>
      <w:ind w:left="720"/>
      <w:contextualSpacing/>
    </w:pPr>
    <w:rPr>
      <w:rFonts w:ascii="Calibri" w:eastAsia="Calibri" w:hAnsi="Calibri"/>
      <w:color w:val="auto"/>
      <w:sz w:val="22"/>
      <w:szCs w:val="22"/>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c10">
    <w:name w:val="c10"/>
  </w:style>
  <w:style w:type="character" w:customStyle="1" w:styleId="c9">
    <w:name w:val="c9"/>
  </w:style>
  <w:style w:type="character" w:customStyle="1" w:styleId="Heading9Char">
    <w:name w:val="Heading 9 Char"/>
    <w:link w:val="Heading91"/>
    <w:uiPriority w:val="9"/>
    <w:rPr>
      <w:rFonts w:ascii="Cambria" w:eastAsia="Times New Roman" w:hAnsi="Cambria" w:cs="Times New Roman"/>
      <w:color w:val="000000"/>
      <w:sz w:val="22"/>
      <w:szCs w:val="22"/>
      <w:lang w:eastAsia="ar-SA"/>
    </w:rPr>
  </w:style>
  <w:style w:type="numbering" w:customStyle="1" w:styleId="NoList1">
    <w:name w:val="No List1"/>
    <w:next w:val="NoList"/>
    <w:uiPriority w:val="99"/>
    <w:semiHidden/>
    <w:unhideWhenUsed/>
  </w:style>
  <w:style w:type="paragraph" w:customStyle="1" w:styleId="Heading11">
    <w:name w:val="Heading 11"/>
    <w:basedOn w:val="Normal"/>
    <w:next w:val="Normal"/>
    <w:link w:val="Heading1Char"/>
    <w:uiPriority w:val="9"/>
    <w:qFormat/>
    <w:pPr>
      <w:keepNext/>
      <w:keepLines/>
      <w:suppressAutoHyphens w:val="0"/>
      <w:spacing w:before="80" w:after="80" w:line="276" w:lineRule="auto"/>
      <w:outlineLvl w:val="0"/>
    </w:pPr>
    <w:rPr>
      <w:rFonts w:ascii="Calibri" w:hAnsi="Calibri" w:cs="Calibri"/>
      <w:b/>
      <w:bCs/>
      <w:color w:val="003366"/>
      <w:sz w:val="40"/>
      <w:szCs w:val="28"/>
      <w:lang w:eastAsia="en-US"/>
    </w:rPr>
  </w:style>
  <w:style w:type="paragraph" w:customStyle="1" w:styleId="Heading21">
    <w:name w:val="Heading 21"/>
    <w:basedOn w:val="Heading1"/>
    <w:next w:val="Normal"/>
    <w:link w:val="Heading2Char"/>
    <w:uiPriority w:val="9"/>
    <w:unhideWhenUsed/>
    <w:qFormat/>
    <w:pPr>
      <w:keepNext/>
      <w:keepLines/>
      <w:tabs>
        <w:tab w:val="clear" w:pos="432"/>
      </w:tabs>
      <w:suppressAutoHyphens w:val="0"/>
      <w:spacing w:before="80" w:after="80" w:line="276" w:lineRule="auto"/>
      <w:ind w:left="0" w:firstLine="0"/>
      <w:outlineLvl w:val="1"/>
    </w:pPr>
    <w:rPr>
      <w:rFonts w:ascii="Calibri" w:hAnsi="Calibri"/>
      <w:b/>
      <w:color w:val="003366"/>
      <w:kern w:val="0"/>
      <w:sz w:val="28"/>
      <w:szCs w:val="28"/>
      <w:lang w:eastAsia="en-US"/>
    </w:rPr>
  </w:style>
  <w:style w:type="character" w:customStyle="1" w:styleId="Heading3Char">
    <w:name w:val="Heading 3 Char"/>
    <w:link w:val="Heading3"/>
    <w:uiPriority w:val="9"/>
    <w:rPr>
      <w:rFonts w:ascii="Verdana" w:hAnsi="Verdana"/>
      <w:b/>
      <w:bCs/>
      <w:sz w:val="26"/>
      <w:szCs w:val="26"/>
      <w:lang w:eastAsia="ar-SA"/>
    </w:rPr>
  </w:style>
  <w:style w:type="paragraph" w:customStyle="1" w:styleId="Heading41">
    <w:name w:val="Heading 41"/>
    <w:basedOn w:val="Normal"/>
    <w:next w:val="Normal"/>
    <w:uiPriority w:val="9"/>
    <w:unhideWhenUsed/>
    <w:locked/>
    <w:pPr>
      <w:keepNext/>
      <w:keepLines/>
      <w:suppressAutoHyphens w:val="0"/>
      <w:spacing w:before="240" w:after="120" w:line="276" w:lineRule="auto"/>
      <w:outlineLvl w:val="3"/>
    </w:pPr>
    <w:rPr>
      <w:rFonts w:ascii="Calibri" w:hAnsi="Calibri"/>
      <w:b/>
      <w:bCs/>
      <w:iCs/>
      <w:color w:val="auto"/>
      <w:sz w:val="22"/>
      <w:szCs w:val="22"/>
      <w:lang w:val="en-US" w:eastAsia="en-US"/>
    </w:rPr>
  </w:style>
  <w:style w:type="paragraph" w:customStyle="1" w:styleId="Heading51">
    <w:name w:val="Heading 51"/>
    <w:basedOn w:val="Normal"/>
    <w:next w:val="Normal"/>
    <w:uiPriority w:val="9"/>
    <w:unhideWhenUsed/>
    <w:locked/>
    <w:pPr>
      <w:keepNext/>
      <w:keepLines/>
      <w:suppressAutoHyphens w:val="0"/>
      <w:spacing w:before="200" w:after="200" w:line="276" w:lineRule="auto"/>
      <w:outlineLvl w:val="4"/>
    </w:pPr>
    <w:rPr>
      <w:rFonts w:ascii="Cambria" w:hAnsi="Cambria"/>
      <w:color w:val="4A114B"/>
      <w:sz w:val="22"/>
      <w:szCs w:val="22"/>
      <w:lang w:val="en-US" w:eastAsia="en-US"/>
    </w:rPr>
  </w:style>
  <w:style w:type="paragraph" w:customStyle="1" w:styleId="Heading91">
    <w:name w:val="Heading 91"/>
    <w:basedOn w:val="Normal"/>
    <w:next w:val="Heading9"/>
    <w:link w:val="Heading9Char"/>
    <w:uiPriority w:val="9"/>
    <w:unhideWhenUsed/>
    <w:locked/>
    <w:pPr>
      <w:keepNext/>
      <w:keepLines/>
      <w:suppressAutoHyphens w:val="0"/>
      <w:spacing w:after="200" w:line="276" w:lineRule="auto"/>
      <w:outlineLvl w:val="8"/>
    </w:pPr>
    <w:rPr>
      <w:rFonts w:ascii="Cambria" w:hAnsi="Cambria"/>
      <w:sz w:val="22"/>
      <w:szCs w:val="22"/>
    </w:rPr>
  </w:style>
  <w:style w:type="numbering" w:customStyle="1" w:styleId="NoList11">
    <w:name w:val="No List11"/>
    <w:next w:val="NoList"/>
    <w:uiPriority w:val="99"/>
    <w:semiHidden/>
    <w:unhideWhenUsed/>
  </w:style>
  <w:style w:type="table" w:styleId="TableGrid">
    <w:name w:val="Table Grid"/>
    <w:basedOn w:val="TableNormal"/>
    <w:uiPriority w:val="59"/>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1"/>
    <w:uiPriority w:val="9"/>
    <w:rPr>
      <w:rFonts w:ascii="Calibri" w:hAnsi="Calibri"/>
      <w:b/>
      <w:color w:val="003366"/>
      <w:sz w:val="28"/>
      <w:szCs w:val="28"/>
      <w:lang w:eastAsia="en-US"/>
    </w:rPr>
  </w:style>
  <w:style w:type="character" w:customStyle="1" w:styleId="Heading1Char">
    <w:name w:val="Heading 1 Char"/>
    <w:link w:val="Heading11"/>
    <w:uiPriority w:val="9"/>
    <w:rPr>
      <w:rFonts w:ascii="Calibri" w:hAnsi="Calibri" w:cs="Calibri"/>
      <w:b/>
      <w:bCs/>
      <w:color w:val="003366"/>
      <w:sz w:val="40"/>
      <w:szCs w:val="28"/>
      <w:lang w:eastAsia="en-US"/>
    </w:rPr>
  </w:style>
  <w:style w:type="character" w:customStyle="1" w:styleId="Heading4Char">
    <w:name w:val="Heading 4 Char"/>
    <w:link w:val="Heading4"/>
    <w:uiPriority w:val="9"/>
    <w:rPr>
      <w:color w:val="000000"/>
      <w:sz w:val="32"/>
      <w:szCs w:val="24"/>
      <w:lang w:eastAsia="ar-SA"/>
    </w:rPr>
  </w:style>
  <w:style w:type="paragraph" w:customStyle="1" w:styleId="TOCHeading1">
    <w:name w:val="TOC Heading1"/>
    <w:basedOn w:val="Normal"/>
    <w:next w:val="Normal"/>
    <w:uiPriority w:val="39"/>
    <w:unhideWhenUsed/>
    <w:pPr>
      <w:suppressAutoHyphens w:val="0"/>
      <w:spacing w:after="200" w:line="276" w:lineRule="auto"/>
    </w:pPr>
    <w:rPr>
      <w:rFonts w:ascii="Calibri" w:hAnsi="Calibri"/>
      <w:b/>
      <w:color w:val="auto"/>
      <w:sz w:val="40"/>
      <w:szCs w:val="22"/>
      <w:lang w:val="en-US" w:eastAsia="ja-JP"/>
    </w:rPr>
  </w:style>
  <w:style w:type="character" w:customStyle="1" w:styleId="Hyperlink1">
    <w:name w:val="Hyperlink1"/>
    <w:uiPriority w:val="99"/>
    <w:unhideWhenUsed/>
    <w:rPr>
      <w:color w:val="858585"/>
      <w:u w:val="single"/>
    </w:rPr>
  </w:style>
  <w:style w:type="character" w:customStyle="1" w:styleId="Heading5Char">
    <w:name w:val="Heading 5 Char"/>
    <w:link w:val="Heading5"/>
    <w:uiPriority w:val="9"/>
    <w:rPr>
      <w:rFonts w:ascii="Verdana" w:hAnsi="Verdana"/>
      <w:b/>
      <w:bCs/>
      <w:color w:val="7A012E"/>
      <w:sz w:val="36"/>
      <w:szCs w:val="36"/>
      <w:lang w:eastAsia="ar-SA"/>
    </w:rPr>
  </w:style>
  <w:style w:type="paragraph" w:customStyle="1" w:styleId="TOCPage">
    <w:name w:val="TOC Page"/>
    <w:basedOn w:val="TOCHeading"/>
    <w:pPr>
      <w:keepNext w:val="0"/>
      <w:keepLines w:val="0"/>
      <w:spacing w:before="0" w:after="200"/>
      <w:jc w:val="right"/>
    </w:pPr>
    <w:rPr>
      <w:rFonts w:ascii="Calibri" w:hAnsi="Calibri"/>
      <w:bCs w:val="0"/>
      <w:color w:val="auto"/>
      <w:szCs w:val="22"/>
      <w:lang w:val="en-US" w:eastAsia="ja-JP"/>
    </w:rPr>
  </w:style>
  <w:style w:type="character" w:customStyle="1" w:styleId="BodyTextChar">
    <w:name w:val="Body Text Char"/>
    <w:link w:val="BodyText"/>
    <w:uiPriority w:val="99"/>
    <w:rPr>
      <w:b/>
      <w:bCs/>
      <w:color w:val="000000"/>
      <w:sz w:val="72"/>
      <w:szCs w:val="24"/>
      <w:lang w:eastAsia="ar-SA"/>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numbering" w:customStyle="1" w:styleId="Style3">
    <w:name w:val="Style3"/>
    <w:uiPriority w:val="99"/>
    <w:pPr>
      <w:numPr>
        <w:numId w:val="19"/>
      </w:numPr>
    </w:pPr>
  </w:style>
  <w:style w:type="numbering" w:customStyle="1" w:styleId="Style4">
    <w:name w:val="Style4"/>
    <w:uiPriority w:val="99"/>
    <w:pPr>
      <w:numPr>
        <w:numId w:val="20"/>
      </w:numPr>
    </w:pPr>
  </w:style>
  <w:style w:type="numbering" w:customStyle="1" w:styleId="Style5">
    <w:name w:val="Style5"/>
    <w:uiPriority w:val="99"/>
    <w:pPr>
      <w:numPr>
        <w:numId w:val="21"/>
      </w:numPr>
    </w:pPr>
  </w:style>
  <w:style w:type="numbering" w:customStyle="1" w:styleId="Style6">
    <w:name w:val="Style6"/>
    <w:uiPriority w:val="99"/>
    <w:pPr>
      <w:numPr>
        <w:numId w:val="22"/>
      </w:numPr>
    </w:pPr>
  </w:style>
  <w:style w:type="character" w:customStyle="1" w:styleId="Heading1Char1">
    <w:name w:val="Heading 1 Char1"/>
    <w:link w:val="Heading1"/>
    <w:uiPriority w:val="9"/>
    <w:rPr>
      <w:rFonts w:ascii="Verdana" w:hAnsi="Verdana"/>
      <w:kern w:val="1"/>
      <w:sz w:val="22"/>
      <w:szCs w:val="22"/>
      <w:lang w:eastAsia="ar-SA"/>
    </w:rPr>
  </w:style>
  <w:style w:type="character" w:customStyle="1" w:styleId="Heading2Char1">
    <w:name w:val="Heading 2 Char1"/>
    <w:link w:val="Heading2"/>
    <w:uiPriority w:val="9"/>
    <w:rPr>
      <w:rFonts w:ascii="Verdana" w:hAnsi="Verdana"/>
      <w:b/>
      <w:bCs/>
      <w:sz w:val="26"/>
      <w:szCs w:val="26"/>
      <w:lang w:eastAsia="ar-SA"/>
    </w:rPr>
  </w:style>
  <w:style w:type="character" w:customStyle="1" w:styleId="Heading9Char1">
    <w:name w:val="Heading 9 Char1"/>
    <w:link w:val="Heading9"/>
    <w:uiPriority w:val="9"/>
    <w:rPr>
      <w:rFonts w:ascii="Cambria" w:hAnsi="Cambria"/>
      <w:i/>
      <w:iCs/>
      <w:color w:val="404040"/>
      <w:lang w:eastAsia="en-US"/>
    </w:rPr>
  </w:style>
  <w:style w:type="character" w:customStyle="1" w:styleId="Heading4Char1">
    <w:name w:val="Heading 4 Char1"/>
    <w:uiPriority w:val="9"/>
    <w:semiHidden/>
    <w:rPr>
      <w:rFonts w:ascii="Cambria" w:eastAsia="Times New Roman" w:hAnsi="Cambria" w:cs="Times New Roman"/>
      <w:b/>
      <w:bCs/>
      <w:i/>
      <w:iCs/>
      <w:color w:val="4F81BD"/>
    </w:rPr>
  </w:style>
  <w:style w:type="character" w:styleId="Hyperlink">
    <w:name w:val="Hyperlink"/>
    <w:uiPriority w:val="99"/>
    <w:unhideWhenUsed/>
    <w:rPr>
      <w:color w:val="0000FF"/>
      <w:u w:val="single"/>
    </w:rPr>
  </w:style>
  <w:style w:type="character" w:customStyle="1" w:styleId="Heading5Char1">
    <w:name w:val="Heading 5 Char1"/>
    <w:uiPriority w:val="9"/>
    <w:semiHidden/>
    <w:rPr>
      <w:rFonts w:ascii="Cambria" w:eastAsia="Times New Roman" w:hAnsi="Cambria" w:cs="Times New Roman"/>
      <w:color w:val="243F60"/>
    </w:rPr>
  </w:style>
  <w:style w:type="paragraph" w:styleId="TOCHeading">
    <w:name w:val="TOC Heading"/>
    <w:basedOn w:val="Heading1"/>
    <w:next w:val="Normal"/>
    <w:uiPriority w:val="39"/>
    <w:unhideWhenUsed/>
    <w:qFormat/>
    <w:pPr>
      <w:keepNext/>
      <w:keepLines/>
      <w:tabs>
        <w:tab w:val="clear" w:pos="432"/>
      </w:tabs>
      <w:suppressAutoHyphens w:val="0"/>
      <w:spacing w:before="480" w:after="0" w:line="276" w:lineRule="auto"/>
      <w:ind w:left="0" w:firstLine="0"/>
      <w:outlineLvl w:val="9"/>
    </w:pPr>
    <w:rPr>
      <w:rFonts w:ascii="Cambria" w:hAnsi="Cambria"/>
      <w:b/>
      <w:bCs/>
      <w:color w:val="365F91"/>
      <w:kern w:val="0"/>
      <w:sz w:val="28"/>
      <w:szCs w:val="28"/>
      <w:lang w:eastAsia="en-US"/>
    </w:rPr>
  </w:style>
  <w:style w:type="numbering" w:customStyle="1" w:styleId="Style51">
    <w:name w:val="Style51"/>
    <w:uiPriority w:val="99"/>
  </w:style>
  <w:style w:type="numbering" w:customStyle="1" w:styleId="NoList2">
    <w:name w:val="No List2"/>
    <w:next w:val="NoList"/>
    <w:uiPriority w:val="99"/>
    <w:semiHidden/>
    <w:unhideWhenUsed/>
  </w:style>
  <w:style w:type="numbering" w:customStyle="1" w:styleId="Style11">
    <w:name w:val="Style11"/>
    <w:uiPriority w:val="99"/>
    <w:pPr>
      <w:numPr>
        <w:numId w:val="6"/>
      </w:numPr>
    </w:pPr>
  </w:style>
  <w:style w:type="numbering" w:customStyle="1" w:styleId="Style21">
    <w:name w:val="Style21"/>
    <w:uiPriority w:val="99"/>
    <w:pPr>
      <w:numPr>
        <w:numId w:val="7"/>
      </w:numPr>
    </w:pPr>
  </w:style>
  <w:style w:type="numbering" w:customStyle="1" w:styleId="Style31">
    <w:name w:val="Style31"/>
    <w:uiPriority w:val="99"/>
    <w:pPr>
      <w:numPr>
        <w:numId w:val="11"/>
      </w:numPr>
    </w:pPr>
  </w:style>
  <w:style w:type="numbering" w:customStyle="1" w:styleId="Style41">
    <w:name w:val="Style41"/>
    <w:uiPriority w:val="99"/>
    <w:pPr>
      <w:numPr>
        <w:numId w:val="12"/>
      </w:numPr>
    </w:pPr>
  </w:style>
  <w:style w:type="numbering" w:customStyle="1" w:styleId="Style52">
    <w:name w:val="Style52"/>
    <w:uiPriority w:val="99"/>
    <w:pPr>
      <w:numPr>
        <w:numId w:val="13"/>
      </w:numPr>
    </w:pPr>
  </w:style>
  <w:style w:type="numbering" w:customStyle="1" w:styleId="Style61">
    <w:name w:val="Style61"/>
    <w:uiPriority w:val="99"/>
    <w:pPr>
      <w:numPr>
        <w:numId w:val="15"/>
      </w:numPr>
    </w:pPr>
  </w:style>
  <w:style w:type="numbering" w:customStyle="1" w:styleId="Style53">
    <w:name w:val="Style53"/>
    <w:uiPriority w:val="99"/>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75922">
      <w:bodyDiv w:val="1"/>
      <w:marLeft w:val="0"/>
      <w:marRight w:val="0"/>
      <w:marTop w:val="0"/>
      <w:marBottom w:val="0"/>
      <w:divBdr>
        <w:top w:val="none" w:sz="0" w:space="0" w:color="auto"/>
        <w:left w:val="none" w:sz="0" w:space="0" w:color="auto"/>
        <w:bottom w:val="none" w:sz="0" w:space="0" w:color="auto"/>
        <w:right w:val="none" w:sz="0" w:space="0" w:color="auto"/>
      </w:divBdr>
    </w:div>
    <w:div w:id="159026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6888B-EF9D-4A4A-97A1-8E10ED66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19</Pages>
  <Words>4264</Words>
  <Characters>24306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Lordswood Girls' School</Company>
  <LinksUpToDate>false</LinksUpToDate>
  <CharactersWithSpaces>28513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Alison Evans</cp:lastModifiedBy>
  <cp:revision>10</cp:revision>
  <cp:lastPrinted>2015-09-14T15:58:00Z</cp:lastPrinted>
  <dcterms:created xsi:type="dcterms:W3CDTF">2017-02-17T11:08:00Z</dcterms:created>
  <dcterms:modified xsi:type="dcterms:W3CDTF">2017-10-19T10:45:00Z</dcterms:modified>
</cp:coreProperties>
</file>